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7CC74" w14:textId="087C6A44" w:rsidR="00B21D5F" w:rsidRPr="0082748C" w:rsidRDefault="00446242" w:rsidP="00446242">
      <w:pPr>
        <w:spacing w:after="240"/>
        <w:jc w:val="center"/>
        <w:rPr>
          <w:b/>
          <w:bCs/>
          <w:smallCaps/>
          <w:sz w:val="26"/>
          <w:szCs w:val="26"/>
        </w:rPr>
      </w:pPr>
      <w:r w:rsidRPr="0082748C">
        <w:rPr>
          <w:b/>
          <w:bCs/>
          <w:smallCaps/>
          <w:sz w:val="26"/>
          <w:szCs w:val="26"/>
        </w:rPr>
        <w:t>“Eden for Enemy Prisoners”? The Role of International Humanitarian Law in Indiana During World War II</w:t>
      </w:r>
    </w:p>
    <w:p w14:paraId="6258ECAC" w14:textId="280555C5" w:rsidR="00446242" w:rsidRPr="00446242" w:rsidRDefault="00446242" w:rsidP="00512B97">
      <w:pPr>
        <w:jc w:val="center"/>
      </w:pPr>
      <w:r>
        <w:t>Ryan T. Schwier</w:t>
      </w:r>
    </w:p>
    <w:p w14:paraId="32FB6B03" w14:textId="77777777" w:rsidR="00B21D5F" w:rsidRDefault="00B21D5F" w:rsidP="00512B97">
      <w:pPr>
        <w:jc w:val="center"/>
        <w:rPr>
          <w:b/>
        </w:rPr>
      </w:pPr>
    </w:p>
    <w:p w14:paraId="1C70BC97" w14:textId="77777777" w:rsidR="003B04D6" w:rsidRDefault="003B04D6" w:rsidP="00B91E24">
      <w:pPr>
        <w:rPr>
          <w:b/>
          <w:bCs/>
          <w:smallCaps/>
        </w:rPr>
      </w:pPr>
    </w:p>
    <w:p w14:paraId="5B712D83" w14:textId="6B553A47" w:rsidR="009B66E8" w:rsidRPr="0082748C" w:rsidRDefault="009B66E8" w:rsidP="00512B97">
      <w:pPr>
        <w:jc w:val="center"/>
        <w:rPr>
          <w:bCs/>
          <w:smallCaps/>
        </w:rPr>
      </w:pPr>
      <w:r w:rsidRPr="0082748C">
        <w:rPr>
          <w:b/>
          <w:bCs/>
          <w:smallCaps/>
        </w:rPr>
        <w:t>1. Introduction</w:t>
      </w:r>
    </w:p>
    <w:p w14:paraId="713BD47E" w14:textId="77777777" w:rsidR="009B66E8" w:rsidRPr="0082025A" w:rsidRDefault="009B66E8" w:rsidP="009B66E8"/>
    <w:p w14:paraId="415F2991" w14:textId="0612EDD3" w:rsidR="002F5912" w:rsidRDefault="00735BB4" w:rsidP="002F5912">
      <w:pPr>
        <w:spacing w:after="160" w:line="360" w:lineRule="auto"/>
        <w:ind w:left="360" w:right="360" w:firstLine="720"/>
        <w:jc w:val="both"/>
      </w:pPr>
      <w:r w:rsidRPr="00A50CE4">
        <w:t>On the</w:t>
      </w:r>
      <w:r w:rsidR="00844489" w:rsidRPr="00A50CE4">
        <w:t xml:space="preserve"> morning of August 24, 1944</w:t>
      </w:r>
      <w:r w:rsidR="004668B6" w:rsidRPr="00A50CE4">
        <w:t xml:space="preserve">, </w:t>
      </w:r>
      <w:r w:rsidRPr="00A50CE4">
        <w:t>the residents of Windfall, Indiana, a</w:t>
      </w:r>
      <w:r w:rsidR="001245C9" w:rsidRPr="00A50CE4">
        <w:t xml:space="preserve"> small rural</w:t>
      </w:r>
      <w:r w:rsidR="000B4A1B" w:rsidRPr="00A50CE4">
        <w:t xml:space="preserve"> </w:t>
      </w:r>
      <w:r w:rsidRPr="00A50CE4">
        <w:t>community</w:t>
      </w:r>
      <w:r w:rsidR="000B4A1B" w:rsidRPr="00A50CE4">
        <w:t xml:space="preserve"> </w:t>
      </w:r>
      <w:r w:rsidRPr="00A50CE4">
        <w:t>located just southeast of Kokomo</w:t>
      </w:r>
      <w:r w:rsidR="000B4A1B" w:rsidRPr="00A50CE4">
        <w:t>, gathered at the Mill Street railroad crossing</w:t>
      </w:r>
      <w:r w:rsidR="00081FBB" w:rsidRPr="00A50CE4">
        <w:t xml:space="preserve">, anxiously </w:t>
      </w:r>
      <w:r w:rsidR="001245C9" w:rsidRPr="00A50CE4">
        <w:t>awaiting</w:t>
      </w:r>
      <w:r w:rsidR="00081FBB" w:rsidRPr="00A50CE4">
        <w:t xml:space="preserve"> the arrival of </w:t>
      </w:r>
      <w:r w:rsidRPr="00A50CE4">
        <w:t>recently-captured</w:t>
      </w:r>
      <w:r w:rsidR="00EE26BE" w:rsidRPr="00A50CE4">
        <w:t xml:space="preserve"> </w:t>
      </w:r>
      <w:r w:rsidR="00E82B0E" w:rsidRPr="00A50CE4">
        <w:t>German prisoners of war.</w:t>
      </w:r>
      <w:r w:rsidR="00AB63CC" w:rsidRPr="00A50CE4">
        <w:rPr>
          <w:rStyle w:val="FootnoteReference"/>
        </w:rPr>
        <w:footnoteReference w:id="2"/>
      </w:r>
      <w:r w:rsidR="00E82B0E" w:rsidRPr="00A50CE4">
        <w:t xml:space="preserve"> </w:t>
      </w:r>
      <w:r w:rsidR="00EE26BE" w:rsidRPr="00A50CE4">
        <w:t xml:space="preserve">County officials had refused to provide details, but </w:t>
      </w:r>
      <w:r w:rsidR="001245C9" w:rsidRPr="00A50CE4">
        <w:t>r</w:t>
      </w:r>
      <w:r w:rsidR="00844489" w:rsidRPr="00A50CE4">
        <w:t>umors had been circulating</w:t>
      </w:r>
      <w:r w:rsidR="00EE26BE" w:rsidRPr="00A50CE4">
        <w:t xml:space="preserve"> for over a month</w:t>
      </w:r>
      <w:r w:rsidR="00844489" w:rsidRPr="00A50CE4">
        <w:t xml:space="preserve"> </w:t>
      </w:r>
      <w:r w:rsidR="00EE26BE" w:rsidRPr="00A50CE4">
        <w:t xml:space="preserve">that an estimated </w:t>
      </w:r>
      <w:r w:rsidR="00B90A0F" w:rsidRPr="00A50CE4">
        <w:t xml:space="preserve">one to </w:t>
      </w:r>
      <w:r w:rsidR="00EE26BE" w:rsidRPr="00A50CE4">
        <w:t>two thousand</w:t>
      </w:r>
      <w:r w:rsidR="001245C9" w:rsidRPr="00A50CE4">
        <w:t xml:space="preserve"> </w:t>
      </w:r>
      <w:r w:rsidR="00446242">
        <w:t>enemy POWs</w:t>
      </w:r>
      <w:r w:rsidR="001245C9" w:rsidRPr="00A50CE4">
        <w:t xml:space="preserve"> would be </w:t>
      </w:r>
      <w:r w:rsidR="00F34EB1" w:rsidRPr="00A50CE4">
        <w:t>sent to</w:t>
      </w:r>
      <w:r w:rsidR="00BA73A5" w:rsidRPr="00A50CE4">
        <w:t xml:space="preserve"> this </w:t>
      </w:r>
      <w:r w:rsidR="00283854" w:rsidRPr="00A50CE4">
        <w:t>town of just over 800 residents</w:t>
      </w:r>
      <w:r w:rsidR="00844489" w:rsidRPr="00A50CE4">
        <w:t>.</w:t>
      </w:r>
      <w:r w:rsidR="00EE26BE" w:rsidRPr="00A50CE4">
        <w:rPr>
          <w:rStyle w:val="FootnoteReference"/>
        </w:rPr>
        <w:footnoteReference w:id="3"/>
      </w:r>
      <w:r w:rsidR="00844489" w:rsidRPr="00A50CE4">
        <w:t xml:space="preserve"> The </w:t>
      </w:r>
      <w:r w:rsidR="00844489" w:rsidRPr="00A50CE4">
        <w:rPr>
          <w:i/>
        </w:rPr>
        <w:t>Tipton Daily Tribune</w:t>
      </w:r>
      <w:r w:rsidR="00844489" w:rsidRPr="00A50CE4">
        <w:t xml:space="preserve"> </w:t>
      </w:r>
      <w:r w:rsidR="00081FBB" w:rsidRPr="00A50CE4">
        <w:t xml:space="preserve">had reported </w:t>
      </w:r>
      <w:r w:rsidR="00844489" w:rsidRPr="00A50CE4">
        <w:t xml:space="preserve">earlier in the week </w:t>
      </w:r>
      <w:r w:rsidR="00EE26BE" w:rsidRPr="00A50CE4">
        <w:t xml:space="preserve">on the arrival of camp guards and </w:t>
      </w:r>
      <w:r w:rsidR="00AC6FEC" w:rsidRPr="00A50CE4">
        <w:t xml:space="preserve">military </w:t>
      </w:r>
      <w:r w:rsidR="00EE26BE" w:rsidRPr="00A50CE4">
        <w:t xml:space="preserve">officers and </w:t>
      </w:r>
      <w:r w:rsidR="00844489" w:rsidRPr="00A50CE4">
        <w:t xml:space="preserve">that the prisoners were </w:t>
      </w:r>
      <w:r w:rsidR="001245C9" w:rsidRPr="00A50CE4">
        <w:t xml:space="preserve">expected </w:t>
      </w:r>
      <w:r w:rsidR="00EE26BE" w:rsidRPr="00A50CE4">
        <w:t>“</w:t>
      </w:r>
      <w:r w:rsidR="001245C9" w:rsidRPr="00A50CE4">
        <w:t>within the next few days.”</w:t>
      </w:r>
      <w:r w:rsidR="001245C9" w:rsidRPr="00A50CE4">
        <w:rPr>
          <w:rStyle w:val="FootnoteReference"/>
        </w:rPr>
        <w:footnoteReference w:id="4"/>
      </w:r>
      <w:r w:rsidR="00081FBB" w:rsidRPr="00A50CE4">
        <w:t xml:space="preserve"> </w:t>
      </w:r>
      <w:r w:rsidR="006C00D7" w:rsidRPr="00A50CE4">
        <w:t xml:space="preserve">With </w:t>
      </w:r>
      <w:r w:rsidR="004668B6" w:rsidRPr="00A50CE4">
        <w:t xml:space="preserve">the </w:t>
      </w:r>
      <w:r w:rsidR="006C00D7" w:rsidRPr="00A50CE4">
        <w:t>arrival of</w:t>
      </w:r>
      <w:r w:rsidR="00B90A0F" w:rsidRPr="00A50CE4">
        <w:t xml:space="preserve"> the train that August morning</w:t>
      </w:r>
      <w:r w:rsidR="006C00D7" w:rsidRPr="00A50CE4">
        <w:t xml:space="preserve">, </w:t>
      </w:r>
      <w:r w:rsidR="00B2549E" w:rsidRPr="00A50CE4">
        <w:t xml:space="preserve">local </w:t>
      </w:r>
      <w:r w:rsidR="006C00D7" w:rsidRPr="00A50CE4">
        <w:t>residents watche</w:t>
      </w:r>
      <w:r w:rsidR="004668B6" w:rsidRPr="00A50CE4">
        <w:t>d</w:t>
      </w:r>
      <w:r w:rsidR="00AC6FEC" w:rsidRPr="00A50CE4">
        <w:t xml:space="preserve"> with mixed emotions as</w:t>
      </w:r>
      <w:r w:rsidR="004668B6" w:rsidRPr="00A50CE4">
        <w:t xml:space="preserve"> the first group of prisoners</w:t>
      </w:r>
      <w:r w:rsidR="009C2E9F" w:rsidRPr="009C2E9F">
        <w:t>, under heavy guard, disembarked and proceeded to march to the</w:t>
      </w:r>
      <w:r w:rsidR="00446242">
        <w:t>ir</w:t>
      </w:r>
      <w:r w:rsidR="009C2E9F" w:rsidRPr="009C2E9F">
        <w:t xml:space="preserve"> camp located at the east edge of town, adjac</w:t>
      </w:r>
      <w:r w:rsidR="009C2E9F">
        <w:t xml:space="preserve">ent to the </w:t>
      </w:r>
      <w:r w:rsidR="00446242">
        <w:t>local high school</w:t>
      </w:r>
      <w:r w:rsidR="004668B6" w:rsidRPr="00A50CE4">
        <w:t>.</w:t>
      </w:r>
      <w:r w:rsidR="00B2549E" w:rsidRPr="00A50CE4">
        <w:rPr>
          <w:rStyle w:val="FootnoteReference"/>
        </w:rPr>
        <w:footnoteReference w:id="5"/>
      </w:r>
      <w:r w:rsidR="00F34EB1">
        <w:t xml:space="preserve"> </w:t>
      </w:r>
    </w:p>
    <w:p w14:paraId="5F27BE8A" w14:textId="1F3A6F2E" w:rsidR="00C22CF8" w:rsidRDefault="00C3389B" w:rsidP="003E6D1B">
      <w:pPr>
        <w:spacing w:after="160" w:line="360" w:lineRule="auto"/>
        <w:ind w:left="360" w:right="360" w:firstLine="720"/>
        <w:jc w:val="both"/>
      </w:pPr>
      <w:r w:rsidRPr="00A50CE4">
        <w:t xml:space="preserve">Thousands of </w:t>
      </w:r>
      <w:r w:rsidR="0001576C" w:rsidRPr="00A50CE4">
        <w:t>Americans</w:t>
      </w:r>
      <w:r w:rsidR="00BA73A5" w:rsidRPr="00A50CE4">
        <w:t xml:space="preserve"> </w:t>
      </w:r>
      <w:r w:rsidRPr="00A50CE4">
        <w:t>from</w:t>
      </w:r>
      <w:r w:rsidR="00BA73A5" w:rsidRPr="00A50CE4">
        <w:t xml:space="preserve"> across the </w:t>
      </w:r>
      <w:r w:rsidR="0001576C" w:rsidRPr="00A50CE4">
        <w:t>country</w:t>
      </w:r>
      <w:r w:rsidR="00BA73A5" w:rsidRPr="00A50CE4">
        <w:t xml:space="preserve"> witnessed similar scenes unfold </w:t>
      </w:r>
      <w:r w:rsidRPr="00A50CE4">
        <w:t xml:space="preserve">in their communities </w:t>
      </w:r>
      <w:r w:rsidR="00BA73A5" w:rsidRPr="00A50CE4">
        <w:t xml:space="preserve">during this period. </w:t>
      </w:r>
      <w:r w:rsidR="000A4BE8" w:rsidRPr="00A50CE4">
        <w:t>Between 1942</w:t>
      </w:r>
      <w:r w:rsidR="00B2578B" w:rsidRPr="00A50CE4">
        <w:t xml:space="preserve"> and 1946</w:t>
      </w:r>
      <w:r w:rsidR="00B42D1C" w:rsidRPr="00A50CE4">
        <w:t xml:space="preserve">, nearly half a million </w:t>
      </w:r>
      <w:r w:rsidR="00953D9B" w:rsidRPr="00A50CE4">
        <w:t>enemy</w:t>
      </w:r>
      <w:r w:rsidR="00B42D1C" w:rsidRPr="00A50CE4">
        <w:t xml:space="preserve"> prisoners of war</w:t>
      </w:r>
      <w:r w:rsidR="00953D9B" w:rsidRPr="00A50CE4">
        <w:t>—over 425,000 German, 50,000 Italian, and 5,000 Japanese—f</w:t>
      </w:r>
      <w:r w:rsidR="00BA73A5" w:rsidRPr="00A50CE4">
        <w:t>ound their way to</w:t>
      </w:r>
      <w:r w:rsidR="00B42D1C" w:rsidRPr="00A50CE4">
        <w:t xml:space="preserve"> </w:t>
      </w:r>
      <w:r w:rsidR="00BB014A" w:rsidRPr="00A50CE4">
        <w:t>one of 511</w:t>
      </w:r>
      <w:r w:rsidR="00B42D1C" w:rsidRPr="00A50CE4">
        <w:t xml:space="preserve"> </w:t>
      </w:r>
      <w:r w:rsidR="00AE001B" w:rsidRPr="00A50CE4">
        <w:t>detention</w:t>
      </w:r>
      <w:r w:rsidR="0084355E" w:rsidRPr="00A50CE4">
        <w:t xml:space="preserve"> </w:t>
      </w:r>
      <w:r w:rsidR="00B42D1C" w:rsidRPr="00A50CE4">
        <w:t xml:space="preserve">camps </w:t>
      </w:r>
      <w:r w:rsidR="00B42D1C" w:rsidRPr="00A50CE4">
        <w:lastRenderedPageBreak/>
        <w:t xml:space="preserve">across the </w:t>
      </w:r>
      <w:r w:rsidRPr="00A50CE4">
        <w:t>country</w:t>
      </w:r>
      <w:r w:rsidR="00B42D1C" w:rsidRPr="0082025A">
        <w:t>.</w:t>
      </w:r>
      <w:r w:rsidR="00825303">
        <w:rPr>
          <w:rStyle w:val="FootnoteReference"/>
        </w:rPr>
        <w:footnoteReference w:id="6"/>
      </w:r>
      <w:r w:rsidR="00B42D1C" w:rsidRPr="0082025A">
        <w:t xml:space="preserve"> </w:t>
      </w:r>
      <w:r w:rsidR="004B72DA" w:rsidRPr="009C2E9F">
        <w:t xml:space="preserve">The </w:t>
      </w:r>
      <w:r w:rsidR="0012519B" w:rsidRPr="009C2E9F">
        <w:t xml:space="preserve">first </w:t>
      </w:r>
      <w:r w:rsidR="004B72DA" w:rsidRPr="009C2E9F">
        <w:t>surge in POWs came w</w:t>
      </w:r>
      <w:r w:rsidR="006D34DB" w:rsidRPr="009C2E9F">
        <w:t>i</w:t>
      </w:r>
      <w:r w:rsidR="004B72DA" w:rsidRPr="009C2E9F">
        <w:t xml:space="preserve">th the surrender of Erwin Rommel’s </w:t>
      </w:r>
      <w:r w:rsidR="00A37034" w:rsidRPr="009C2E9F">
        <w:rPr>
          <w:i/>
        </w:rPr>
        <w:t>Afrika K</w:t>
      </w:r>
      <w:r w:rsidR="006D34DB" w:rsidRPr="009C2E9F">
        <w:rPr>
          <w:i/>
        </w:rPr>
        <w:t>orps</w:t>
      </w:r>
      <w:r w:rsidR="006D34DB" w:rsidRPr="009C2E9F">
        <w:t xml:space="preserve"> </w:t>
      </w:r>
      <w:r w:rsidR="004B72DA" w:rsidRPr="009C2E9F">
        <w:t>in May of 1943</w:t>
      </w:r>
      <w:r w:rsidR="0012519B" w:rsidRPr="009C2E9F">
        <w:t>; thousands more capitulated</w:t>
      </w:r>
      <w:r w:rsidR="006D34DB" w:rsidRPr="009C2E9F">
        <w:t xml:space="preserve"> to the Allies </w:t>
      </w:r>
      <w:r w:rsidR="0012519B" w:rsidRPr="009C2E9F">
        <w:t>after the I</w:t>
      </w:r>
      <w:r w:rsidR="006D34DB" w:rsidRPr="009C2E9F">
        <w:t xml:space="preserve">nvasion of Normandy in June </w:t>
      </w:r>
      <w:r w:rsidR="0012519B" w:rsidRPr="009C2E9F">
        <w:t xml:space="preserve">of </w:t>
      </w:r>
      <w:r w:rsidR="006D34DB" w:rsidRPr="009C2E9F">
        <w:t>1944</w:t>
      </w:r>
      <w:r w:rsidR="0012519B" w:rsidRPr="009C2E9F">
        <w:t>.</w:t>
      </w:r>
      <w:r w:rsidR="006D34DB">
        <w:rPr>
          <w:rStyle w:val="FootnoteReference"/>
        </w:rPr>
        <w:footnoteReference w:id="7"/>
      </w:r>
      <w:r w:rsidR="003F0C44">
        <w:t xml:space="preserve"> </w:t>
      </w:r>
      <w:r w:rsidR="0084355E">
        <w:t>After</w:t>
      </w:r>
      <w:r w:rsidR="003F0C44">
        <w:t xml:space="preserve"> </w:t>
      </w:r>
      <w:r w:rsidR="0084355E">
        <w:t xml:space="preserve">arriving by ship at </w:t>
      </w:r>
      <w:r w:rsidR="003F0C44">
        <w:t xml:space="preserve">ports-of-entry in </w:t>
      </w:r>
      <w:r w:rsidR="0084355E">
        <w:t xml:space="preserve">New York, Boston, and Norfolk, </w:t>
      </w:r>
      <w:r w:rsidR="003F0C44">
        <w:t xml:space="preserve">they </w:t>
      </w:r>
      <w:r w:rsidR="0084355E">
        <w:t>traversed the country by train, disembarking at various destinations in nearly every state</w:t>
      </w:r>
      <w:r w:rsidR="00C22CF8">
        <w:t xml:space="preserve">. </w:t>
      </w:r>
    </w:p>
    <w:p w14:paraId="229CB769" w14:textId="099BE3A2" w:rsidR="00D81FBF" w:rsidRDefault="00C22CF8" w:rsidP="003E6D1B">
      <w:pPr>
        <w:spacing w:after="160" w:line="360" w:lineRule="auto"/>
        <w:ind w:left="360" w:right="360" w:firstLine="720"/>
        <w:jc w:val="both"/>
      </w:pPr>
      <w:r>
        <w:t>A</w:t>
      </w:r>
      <w:r w:rsidR="0084355E" w:rsidRPr="0082025A">
        <w:t xml:space="preserve">n estimated 12,000-15,000 </w:t>
      </w:r>
      <w:r>
        <w:t>of these wartime captives</w:t>
      </w:r>
      <w:r w:rsidR="0084355E" w:rsidRPr="0082025A">
        <w:t xml:space="preserve"> </w:t>
      </w:r>
      <w:r>
        <w:t xml:space="preserve">landed in Indiana, where they would live and work at one of </w:t>
      </w:r>
      <w:r w:rsidR="00676510">
        <w:t>nine</w:t>
      </w:r>
      <w:r>
        <w:t xml:space="preserve"> POW camps across the state.</w:t>
      </w:r>
      <w:r w:rsidR="00825303">
        <w:rPr>
          <w:rStyle w:val="FootnoteReference"/>
        </w:rPr>
        <w:footnoteReference w:id="8"/>
      </w:r>
      <w:r>
        <w:t xml:space="preserve"> </w:t>
      </w:r>
      <w:r w:rsidR="0084355E" w:rsidRPr="0082025A">
        <w:t>Camp Atterbury</w:t>
      </w:r>
      <w:r w:rsidR="0084355E">
        <w:t xml:space="preserve">, located </w:t>
      </w:r>
      <w:r w:rsidR="009C736D" w:rsidRPr="00A50CE4">
        <w:t>near Edinburgh, Indiana</w:t>
      </w:r>
      <w:r w:rsidR="0084355E" w:rsidRPr="00A50CE4">
        <w:t xml:space="preserve">, served as the </w:t>
      </w:r>
      <w:r w:rsidR="009C736D" w:rsidRPr="00A50CE4">
        <w:t>primary center</w:t>
      </w:r>
      <w:r w:rsidR="00180A38" w:rsidRPr="00A50CE4">
        <w:t xml:space="preserve"> for POW internment operations</w:t>
      </w:r>
      <w:r w:rsidR="009C736D" w:rsidRPr="00A50CE4">
        <w:t>, with b</w:t>
      </w:r>
      <w:r w:rsidR="00A37034" w:rsidRPr="00A50CE4">
        <w:t>ranch camps</w:t>
      </w:r>
      <w:r w:rsidR="00853D07" w:rsidRPr="00A50CE4">
        <w:t xml:space="preserve"> </w:t>
      </w:r>
      <w:r w:rsidR="009C736D" w:rsidRPr="00A50CE4">
        <w:t>operating</w:t>
      </w:r>
      <w:r w:rsidR="0084355E" w:rsidRPr="00A50CE4">
        <w:t xml:space="preserve"> at Austin, Windf</w:t>
      </w:r>
      <w:r w:rsidR="00676510">
        <w:t xml:space="preserve">all, Vincennes, Morristown, </w:t>
      </w:r>
      <w:r w:rsidR="0084355E" w:rsidRPr="00A50CE4">
        <w:t>Eaton</w:t>
      </w:r>
      <w:r w:rsidR="00676510">
        <w:t>, and Fort Benjamin Harrison in Indianapolis</w:t>
      </w:r>
      <w:r w:rsidR="00853D07" w:rsidRPr="00A50CE4">
        <w:t>. </w:t>
      </w:r>
      <w:r w:rsidR="0084355E" w:rsidRPr="00A50CE4">
        <w:t>Camp Thomas A. Scott</w:t>
      </w:r>
      <w:r w:rsidR="00676510">
        <w:t xml:space="preserve"> (</w:t>
      </w:r>
      <w:r w:rsidR="00C7536A">
        <w:t>along with</w:t>
      </w:r>
      <w:r w:rsidR="00676510">
        <w:t xml:space="preserve"> the Casad Ordnance Depot)</w:t>
      </w:r>
      <w:r w:rsidR="00C7536A">
        <w:t>, located</w:t>
      </w:r>
      <w:r w:rsidR="00676510">
        <w:t xml:space="preserve"> just outside</w:t>
      </w:r>
      <w:r w:rsidR="0084355E" w:rsidRPr="00A50CE4">
        <w:t xml:space="preserve"> Fort Wayne</w:t>
      </w:r>
      <w:r w:rsidR="00C7536A">
        <w:t>,</w:t>
      </w:r>
      <w:r w:rsidR="0084355E" w:rsidRPr="00A50CE4">
        <w:t xml:space="preserve"> operated under the command of Camp Perry, Ohio. And</w:t>
      </w:r>
      <w:r w:rsidR="0084355E" w:rsidRPr="0082025A">
        <w:t xml:space="preserve"> in the southern part of the state, the Jeffersonville Quartermaster Depot (and nearby Indiana Ordinance Works) </w:t>
      </w:r>
      <w:r w:rsidR="00C7536A">
        <w:t>functioned as a branch camp</w:t>
      </w:r>
      <w:r w:rsidR="0084355E" w:rsidRPr="0082025A">
        <w:t xml:space="preserve"> of Fort Knox, Kentucky.</w:t>
      </w:r>
      <w:r w:rsidR="0084355E" w:rsidRPr="0082025A">
        <w:rPr>
          <w:rStyle w:val="FootnoteReference"/>
        </w:rPr>
        <w:footnoteReference w:id="9"/>
      </w:r>
    </w:p>
    <w:p w14:paraId="3790B264" w14:textId="4C013442" w:rsidR="005924DE" w:rsidRPr="00A50CE4" w:rsidRDefault="0028229D" w:rsidP="003E6D1B">
      <w:pPr>
        <w:spacing w:after="160" w:line="360" w:lineRule="auto"/>
        <w:ind w:left="360" w:right="360" w:firstLine="720"/>
        <w:jc w:val="both"/>
      </w:pPr>
      <w:r w:rsidRPr="00A50CE4">
        <w:t>This</w:t>
      </w:r>
      <w:r w:rsidR="00622FC2" w:rsidRPr="00A50CE4">
        <w:t xml:space="preserve"> massive influx of </w:t>
      </w:r>
      <w:r w:rsidRPr="00A50CE4">
        <w:t>war</w:t>
      </w:r>
      <w:r w:rsidR="00622FC2" w:rsidRPr="00A50CE4">
        <w:t xml:space="preserve"> prisoners, unprecedented in U.S. history, created huge demands for a nation and a state already stretched thin in conducting a two-front war. </w:t>
      </w:r>
      <w:r w:rsidR="00C7536A">
        <w:t>O</w:t>
      </w:r>
      <w:r w:rsidR="006B530D" w:rsidRPr="00A50CE4">
        <w:t xml:space="preserve">ver 360,000 </w:t>
      </w:r>
      <w:r w:rsidR="00C7536A">
        <w:t xml:space="preserve">Hoosier </w:t>
      </w:r>
      <w:r w:rsidR="006B530D" w:rsidRPr="00A50CE4">
        <w:t>men and women—</w:t>
      </w:r>
      <w:r w:rsidR="007C06AB" w:rsidRPr="00A50CE4">
        <w:t>nearly</w:t>
      </w:r>
      <w:r w:rsidR="006B530D" w:rsidRPr="00A50CE4">
        <w:t xml:space="preserve"> 10% of the state’s population—</w:t>
      </w:r>
      <w:r w:rsidR="007C06AB" w:rsidRPr="00A50CE4">
        <w:t>served in the armed forces</w:t>
      </w:r>
      <w:r w:rsidR="00C7536A">
        <w:t xml:space="preserve"> abroad.</w:t>
      </w:r>
      <w:r w:rsidR="00BD0B80" w:rsidRPr="00A50CE4">
        <w:rPr>
          <w:rStyle w:val="FootnoteReference"/>
        </w:rPr>
        <w:footnoteReference w:id="10"/>
      </w:r>
      <w:r w:rsidR="007C06AB" w:rsidRPr="00A50CE4">
        <w:t xml:space="preserve"> On the home front, </w:t>
      </w:r>
      <w:r w:rsidR="000E4585">
        <w:t xml:space="preserve">hundreds of </w:t>
      </w:r>
      <w:r w:rsidR="00C7536A" w:rsidRPr="00A50CE4">
        <w:t>industri</w:t>
      </w:r>
      <w:r w:rsidR="000E4585">
        <w:t>al firms</w:t>
      </w:r>
      <w:r w:rsidR="00C7536A" w:rsidRPr="00A50CE4">
        <w:t xml:space="preserve"> converted their production efforts to the manufacture of war materials</w:t>
      </w:r>
      <w:r w:rsidR="000E4585">
        <w:t>; and</w:t>
      </w:r>
      <w:r w:rsidR="00C7536A" w:rsidRPr="00A50CE4">
        <w:t xml:space="preserve"> </w:t>
      </w:r>
      <w:r w:rsidR="007C06AB" w:rsidRPr="00A50CE4">
        <w:t xml:space="preserve">the state hosted </w:t>
      </w:r>
      <w:r w:rsidR="006B530D" w:rsidRPr="00A50CE4">
        <w:t xml:space="preserve">numerous military installations, </w:t>
      </w:r>
      <w:r w:rsidR="007C06AB" w:rsidRPr="00A50CE4">
        <w:t xml:space="preserve">including air fields, ordnance depots, training facilities and proving grounds, hospitals, the Army Finance School, and </w:t>
      </w:r>
      <w:r w:rsidR="006B530D" w:rsidRPr="00A50CE4">
        <w:t xml:space="preserve">the </w:t>
      </w:r>
      <w:r w:rsidR="007C06AB" w:rsidRPr="00A50CE4">
        <w:t>Atlantic Flee</w:t>
      </w:r>
      <w:r w:rsidR="00C7536A">
        <w:t>t’s storage depot.</w:t>
      </w:r>
      <w:r w:rsidR="00C7536A">
        <w:rPr>
          <w:rStyle w:val="FootnoteReference"/>
        </w:rPr>
        <w:footnoteReference w:id="11"/>
      </w:r>
      <w:r w:rsidR="00C7536A">
        <w:t xml:space="preserve"> P</w:t>
      </w:r>
      <w:r w:rsidR="007C06AB" w:rsidRPr="00A50CE4">
        <w:t>rice controls and the rationing of food, clothing, and gasoline f</w:t>
      </w:r>
      <w:r w:rsidR="006B530D" w:rsidRPr="00A50CE4">
        <w:t xml:space="preserve">urther affected </w:t>
      </w:r>
      <w:r w:rsidR="000E4585">
        <w:t>civilian life.</w:t>
      </w:r>
      <w:r w:rsidR="000E4585">
        <w:rPr>
          <w:rStyle w:val="FootnoteReference"/>
        </w:rPr>
        <w:footnoteReference w:id="12"/>
      </w:r>
      <w:r w:rsidR="000E4585">
        <w:t xml:space="preserve"> A</w:t>
      </w:r>
      <w:r w:rsidR="007C06AB" w:rsidRPr="00A50CE4">
        <w:t>nd despite the persistent labor shortage, agricultural production nearly doubled.</w:t>
      </w:r>
      <w:r w:rsidR="007C06AB" w:rsidRPr="00A50CE4">
        <w:rPr>
          <w:rStyle w:val="FootnoteReference"/>
        </w:rPr>
        <w:footnoteReference w:id="13"/>
      </w:r>
    </w:p>
    <w:p w14:paraId="3FDC71F5" w14:textId="10C2C095" w:rsidR="00622FC2" w:rsidRDefault="00303868" w:rsidP="003E6D1B">
      <w:pPr>
        <w:spacing w:after="160" w:line="360" w:lineRule="auto"/>
        <w:ind w:left="360" w:right="360" w:firstLine="720"/>
        <w:jc w:val="both"/>
      </w:pPr>
      <w:r w:rsidRPr="00A50CE4">
        <w:t>So w</w:t>
      </w:r>
      <w:r w:rsidR="00341B69" w:rsidRPr="00A50CE4">
        <w:t xml:space="preserve">hat did Hoosiers think of these </w:t>
      </w:r>
      <w:r w:rsidR="009F09E8" w:rsidRPr="00A50CE4">
        <w:t xml:space="preserve">uninvited guests? How </w:t>
      </w:r>
      <w:r w:rsidRPr="00A50CE4">
        <w:t>sh</w:t>
      </w:r>
      <w:r w:rsidR="00622FC2" w:rsidRPr="00A50CE4">
        <w:t>ould</w:t>
      </w:r>
      <w:r w:rsidR="009F09E8" w:rsidRPr="00A50CE4">
        <w:t xml:space="preserve"> the</w:t>
      </w:r>
      <w:r w:rsidR="004B1BA8" w:rsidRPr="00A50CE4">
        <w:t xml:space="preserve">y </w:t>
      </w:r>
      <w:r w:rsidR="00341B69" w:rsidRPr="00A50CE4">
        <w:t xml:space="preserve">be treated? </w:t>
      </w:r>
      <w:r w:rsidR="004C2696" w:rsidRPr="00A50CE4">
        <w:t>Did the</w:t>
      </w:r>
      <w:r w:rsidR="00622FC2" w:rsidRPr="00A50CE4">
        <w:t>y</w:t>
      </w:r>
      <w:r w:rsidR="004C2696" w:rsidRPr="00A50CE4">
        <w:t xml:space="preserve"> </w:t>
      </w:r>
      <w:r w:rsidR="009F09E8" w:rsidRPr="00A50CE4">
        <w:t xml:space="preserve">pose a security </w:t>
      </w:r>
      <w:r w:rsidR="004C2696" w:rsidRPr="00A50CE4">
        <w:t>threat</w:t>
      </w:r>
      <w:r w:rsidR="009F09E8" w:rsidRPr="00A50CE4">
        <w:t>?</w:t>
      </w:r>
      <w:r w:rsidR="004C2696" w:rsidRPr="00A50CE4">
        <w:t xml:space="preserve"> </w:t>
      </w:r>
      <w:r w:rsidR="007E11F6" w:rsidRPr="00A50CE4">
        <w:t>What impact would they have on the local economy</w:t>
      </w:r>
      <w:r w:rsidR="0028229D" w:rsidRPr="00A50CE4">
        <w:t xml:space="preserve">? </w:t>
      </w:r>
      <w:r w:rsidR="00BD2F0B" w:rsidRPr="00A50CE4">
        <w:t>The</w:t>
      </w:r>
      <w:r w:rsidR="00BD2F0B" w:rsidRPr="0082025A">
        <w:t xml:space="preserve"> </w:t>
      </w:r>
      <w:r w:rsidR="00BD2F0B">
        <w:t xml:space="preserve">domestic presence of </w:t>
      </w:r>
      <w:r w:rsidR="009F09E8">
        <w:t>a captive</w:t>
      </w:r>
      <w:r w:rsidR="00BD2F0B">
        <w:t xml:space="preserve"> foreign enemy</w:t>
      </w:r>
      <w:r w:rsidR="004C2696">
        <w:t xml:space="preserve"> during wartime</w:t>
      </w:r>
      <w:r w:rsidR="00BD2F0B">
        <w:t xml:space="preserve"> </w:t>
      </w:r>
      <w:r w:rsidR="004C2696">
        <w:t>would seem to have provoked a strong</w:t>
      </w:r>
      <w:r w:rsidR="002952D4">
        <w:t xml:space="preserve"> abhorrence, perhaps even violent</w:t>
      </w:r>
      <w:r w:rsidR="004C2696">
        <w:t xml:space="preserve"> propensi</w:t>
      </w:r>
      <w:r w:rsidR="004B1BA8">
        <w:t>ties,</w:t>
      </w:r>
      <w:r w:rsidR="002952D4">
        <w:t xml:space="preserve"> from their captors. </w:t>
      </w:r>
      <w:r w:rsidR="00BD2F0B">
        <w:t xml:space="preserve">After all, </w:t>
      </w:r>
      <w:r w:rsidR="00BD2F0B" w:rsidRPr="0082025A">
        <w:t>these prisoners</w:t>
      </w:r>
      <w:r w:rsidR="00BC1540">
        <w:t xml:space="preserve"> had been responsible for th</w:t>
      </w:r>
      <w:r w:rsidR="009F09E8">
        <w:t>e deaths of th</w:t>
      </w:r>
      <w:r w:rsidR="00BC1540">
        <w:t xml:space="preserve">ousands </w:t>
      </w:r>
      <w:r w:rsidR="00863246">
        <w:t xml:space="preserve">of </w:t>
      </w:r>
      <w:r w:rsidR="009F09E8">
        <w:t>American</w:t>
      </w:r>
      <w:r w:rsidR="00BD2F0B" w:rsidRPr="0082025A">
        <w:t xml:space="preserve"> soldiers abroad</w:t>
      </w:r>
      <w:r w:rsidR="00863246">
        <w:t>—the sons, brothers, uncles, nephews, and cousins of countless Hoosier families</w:t>
      </w:r>
      <w:r w:rsidR="00BC1540">
        <w:t>.</w:t>
      </w:r>
      <w:r w:rsidR="003B7B10">
        <w:t xml:space="preserve"> </w:t>
      </w:r>
    </w:p>
    <w:p w14:paraId="03C12C28" w14:textId="787185A2" w:rsidR="009C66F6" w:rsidRDefault="00BC1540" w:rsidP="000E4585">
      <w:pPr>
        <w:tabs>
          <w:tab w:val="left" w:pos="8640"/>
        </w:tabs>
        <w:spacing w:after="160" w:line="360" w:lineRule="auto"/>
        <w:ind w:left="360" w:right="360" w:firstLine="720"/>
        <w:jc w:val="both"/>
      </w:pPr>
      <w:r>
        <w:t xml:space="preserve">Yet the historical record tells a different story. </w:t>
      </w:r>
      <w:r w:rsidR="000E4585" w:rsidRPr="000E4585">
        <w:t xml:space="preserve">The presence of </w:t>
      </w:r>
      <w:r w:rsidR="000E4585">
        <w:t xml:space="preserve">enemy </w:t>
      </w:r>
      <w:r w:rsidR="000E4585" w:rsidRPr="000E4585">
        <w:t>POWs in Indiana certainly generated mixed reactions from the local community. Some residents worried about prisoner escapes while others expressed either intrigue or indifference. Most, however, </w:t>
      </w:r>
      <w:r w:rsidR="0028229D">
        <w:t>responded with</w:t>
      </w:r>
      <w:r w:rsidR="00D85721">
        <w:t xml:space="preserve"> sympathy. One woman, employed at the same canning factory where German prisoners worked in Elwood, Indiana, brought candy bars to the younger ones, recalling that she “felt sorry for them.”</w:t>
      </w:r>
      <w:r w:rsidR="00D85721">
        <w:rPr>
          <w:rStyle w:val="FootnoteReference"/>
        </w:rPr>
        <w:footnoteReference w:id="14"/>
      </w:r>
      <w:r w:rsidR="00D85721">
        <w:t xml:space="preserve"> Others from the local community empathized with their captive visitors. </w:t>
      </w:r>
      <w:r w:rsidR="009C66F6">
        <w:t>“They wer</w:t>
      </w:r>
      <w:r w:rsidR="00C962B7">
        <w:t>e just people like</w:t>
      </w:r>
      <w:r w:rsidR="002625A7">
        <w:t xml:space="preserve"> anyone else,” one woman from Windfall declared, recalling the </w:t>
      </w:r>
      <w:r w:rsidR="004C2696">
        <w:t>prisoners</w:t>
      </w:r>
      <w:r w:rsidR="002625A7">
        <w:t xml:space="preserve"> who picked tomatoes on the family farm during her youth.</w:t>
      </w:r>
      <w:r w:rsidR="00CC50CD">
        <w:rPr>
          <w:rStyle w:val="FootnoteReference"/>
        </w:rPr>
        <w:footnoteReference w:id="15"/>
      </w:r>
      <w:r w:rsidR="00E817C1">
        <w:t xml:space="preserve"> </w:t>
      </w:r>
      <w:r w:rsidR="00D85721">
        <w:t xml:space="preserve">“Just </w:t>
      </w:r>
      <w:r w:rsidR="00D85721" w:rsidRPr="00A50CE4">
        <w:t>like our boys,” noted a man whose father-in-law also relied on POW labor at his farm in Tipton County during the War,</w:t>
      </w:r>
      <w:r w:rsidR="00583F44" w:rsidRPr="00A50CE4">
        <w:t xml:space="preserve"> </w:t>
      </w:r>
      <w:r w:rsidR="00D85721" w:rsidRPr="00A50CE4">
        <w:t>“[n]</w:t>
      </w:r>
      <w:r w:rsidR="00583F44" w:rsidRPr="00A50CE4">
        <w:t>o different.”</w:t>
      </w:r>
      <w:r w:rsidR="00583F44" w:rsidRPr="00A50CE4">
        <w:rPr>
          <w:rStyle w:val="FootnoteReference"/>
        </w:rPr>
        <w:footnoteReference w:id="16"/>
      </w:r>
      <w:r w:rsidR="00583F44" w:rsidRPr="00A50CE4">
        <w:t xml:space="preserve"> </w:t>
      </w:r>
      <w:r w:rsidR="00771BA2" w:rsidRPr="00A50CE4">
        <w:t xml:space="preserve">For others, any sense of </w:t>
      </w:r>
      <w:r w:rsidR="0028229D" w:rsidRPr="00A50CE4">
        <w:t>reluctance</w:t>
      </w:r>
      <w:r w:rsidR="00752E6F" w:rsidRPr="00A50CE4">
        <w:t xml:space="preserve"> to </w:t>
      </w:r>
      <w:r w:rsidR="00301CC0" w:rsidRPr="00A50CE4">
        <w:t xml:space="preserve">show </w:t>
      </w:r>
      <w:r w:rsidR="00771BA2" w:rsidRPr="00A50CE4">
        <w:t>compassion quickly dissipated:</w:t>
      </w:r>
      <w:r w:rsidR="00301CC0" w:rsidRPr="00A50CE4">
        <w:t xml:space="preserve"> </w:t>
      </w:r>
      <w:r w:rsidR="00583F44" w:rsidRPr="00A50CE4">
        <w:t>“Many Italian-American families</w:t>
      </w:r>
      <w:r w:rsidR="000E2BC2" w:rsidRPr="00A50CE4">
        <w:t xml:space="preserve">,” noted a retrospective piece in the </w:t>
      </w:r>
      <w:r w:rsidR="000E2BC2" w:rsidRPr="00A50CE4">
        <w:rPr>
          <w:i/>
        </w:rPr>
        <w:t>Indianapolis Times</w:t>
      </w:r>
      <w:r w:rsidR="000E2BC2" w:rsidRPr="00A50CE4">
        <w:t>,</w:t>
      </w:r>
      <w:r w:rsidR="00583F44" w:rsidRPr="00A50CE4">
        <w:t xml:space="preserve"> </w:t>
      </w:r>
      <w:r w:rsidR="000E2BC2" w:rsidRPr="00A50CE4">
        <w:t>“</w:t>
      </w:r>
      <w:r w:rsidR="00583F44" w:rsidRPr="00A50CE4">
        <w:t xml:space="preserve">shied away from the Italian prisoners when they first arrived at </w:t>
      </w:r>
      <w:r w:rsidR="00B64901" w:rsidRPr="00A50CE4">
        <w:t xml:space="preserve">[Camp] </w:t>
      </w:r>
      <w:r w:rsidR="00583F44" w:rsidRPr="00A50CE4">
        <w:t>Atterbury. But by the end of the war they were entertaining the prisoners.”</w:t>
      </w:r>
      <w:r w:rsidR="00583F44" w:rsidRPr="00A50CE4">
        <w:rPr>
          <w:rStyle w:val="FootnoteReference"/>
        </w:rPr>
        <w:footnoteReference w:id="17"/>
      </w:r>
    </w:p>
    <w:p w14:paraId="7B3CDFE7" w14:textId="7189535B" w:rsidR="007E041A" w:rsidRDefault="00430791" w:rsidP="003E6D1B">
      <w:pPr>
        <w:spacing w:after="160" w:line="360" w:lineRule="auto"/>
        <w:ind w:left="360" w:right="360" w:firstLine="720"/>
        <w:jc w:val="both"/>
      </w:pPr>
      <w:r w:rsidRPr="00A50CE4">
        <w:t>What accounts for this</w:t>
      </w:r>
      <w:r w:rsidR="00553017" w:rsidRPr="00A50CE4">
        <w:t xml:space="preserve"> </w:t>
      </w:r>
      <w:r w:rsidRPr="00A50CE4">
        <w:t>narrative</w:t>
      </w:r>
      <w:r w:rsidR="00AE7A9C">
        <w:t xml:space="preserve"> of benevolence</w:t>
      </w:r>
      <w:r w:rsidRPr="00A50CE4">
        <w:t>?</w:t>
      </w:r>
      <w:r w:rsidR="00771BA2" w:rsidRPr="00A50CE4">
        <w:t xml:space="preserve"> And to what extent did</w:t>
      </w:r>
      <w:r w:rsidR="00EF2738" w:rsidRPr="00A50CE4">
        <w:t xml:space="preserve"> it reflect common public sentiment at the time?</w:t>
      </w:r>
      <w:r w:rsidRPr="00A50CE4">
        <w:t xml:space="preserve"> </w:t>
      </w:r>
      <w:r w:rsidR="00771BA2" w:rsidRPr="00A50CE4">
        <w:t>I</w:t>
      </w:r>
      <w:r w:rsidR="00EF2738" w:rsidRPr="00A50CE4">
        <w:t>n large part</w:t>
      </w:r>
      <w:r w:rsidR="00771BA2" w:rsidRPr="00A50CE4">
        <w:t xml:space="preserve">, the answer to these questions lies in </w:t>
      </w:r>
      <w:r w:rsidR="004B279C" w:rsidRPr="00A50CE4">
        <w:t xml:space="preserve">the </w:t>
      </w:r>
      <w:r w:rsidR="00146BDF" w:rsidRPr="00A50CE4">
        <w:t xml:space="preserve">international law obligations </w:t>
      </w:r>
      <w:r w:rsidR="004B279C" w:rsidRPr="00A50CE4">
        <w:t>to which the United States committed itself as a signatory</w:t>
      </w:r>
      <w:r w:rsidR="00CB2970" w:rsidRPr="00A50CE4">
        <w:t xml:space="preserve"> state to the 1929 Geneva Convention</w:t>
      </w:r>
      <w:r w:rsidR="004B279C" w:rsidRPr="00A50CE4">
        <w:t xml:space="preserve"> </w:t>
      </w:r>
      <w:r w:rsidR="00CB2970" w:rsidRPr="00A50CE4">
        <w:t>Relative to the Treatment of Prisoners of War</w:t>
      </w:r>
      <w:r w:rsidR="004B279C" w:rsidRPr="00A50CE4">
        <w:t>.</w:t>
      </w:r>
      <w:r w:rsidR="003C1F3B" w:rsidRPr="00A50CE4">
        <w:rPr>
          <w:rStyle w:val="FootnoteReference"/>
        </w:rPr>
        <w:footnoteReference w:id="18"/>
      </w:r>
      <w:r w:rsidR="004B279C" w:rsidRPr="00A50CE4">
        <w:t xml:space="preserve"> </w:t>
      </w:r>
      <w:r w:rsidR="009F7E47" w:rsidRPr="00A50CE4">
        <w:t>Under the terms of that agreement, the United States—</w:t>
      </w:r>
      <w:r w:rsidR="00146BDF" w:rsidRPr="00A50CE4">
        <w:t xml:space="preserve">along with </w:t>
      </w:r>
      <w:r w:rsidR="00706C50" w:rsidRPr="00A50CE4">
        <w:t>46</w:t>
      </w:r>
      <w:r w:rsidR="00CB2970" w:rsidRPr="00A50CE4">
        <w:t xml:space="preserve"> other nations</w:t>
      </w:r>
      <w:r w:rsidR="009F7E47" w:rsidRPr="00A50CE4">
        <w:t>—</w:t>
      </w:r>
      <w:r w:rsidR="00CB2970" w:rsidRPr="00A50CE4">
        <w:t>pledged to “mitigate as far as possible, the inevitable rigours [of war] and to alleviate the condition of prisoners of war.”</w:t>
      </w:r>
      <w:r w:rsidR="00BE44D5" w:rsidRPr="00A50CE4">
        <w:rPr>
          <w:rStyle w:val="FootnoteReference"/>
        </w:rPr>
        <w:footnoteReference w:id="19"/>
      </w:r>
      <w:r w:rsidR="00CB2970" w:rsidRPr="00A50CE4">
        <w:t xml:space="preserve"> </w:t>
      </w:r>
      <w:r w:rsidR="007A4CA7" w:rsidRPr="00A50CE4">
        <w:t xml:space="preserve">With the outbreak of </w:t>
      </w:r>
      <w:r w:rsidR="00706C50" w:rsidRPr="00A50CE4">
        <w:t xml:space="preserve">hostilities </w:t>
      </w:r>
      <w:r w:rsidR="00DF5316" w:rsidRPr="00A50CE4">
        <w:t>during World War II</w:t>
      </w:r>
      <w:r w:rsidR="007A4CA7" w:rsidRPr="00A50CE4">
        <w:t xml:space="preserve">, all major </w:t>
      </w:r>
      <w:r w:rsidR="00706C50" w:rsidRPr="00A50CE4">
        <w:t>belligerents—with the exception of Japan and the Soviet Union—deposited instruments of ratification or adherence at Geneva.</w:t>
      </w:r>
      <w:r w:rsidR="009F4782" w:rsidRPr="00A50CE4">
        <w:rPr>
          <w:rStyle w:val="FootnoteReference"/>
        </w:rPr>
        <w:footnoteReference w:id="20"/>
      </w:r>
      <w:r w:rsidR="00706C50" w:rsidRPr="00A50CE4">
        <w:t xml:space="preserve"> </w:t>
      </w:r>
      <w:r w:rsidR="00CB2970" w:rsidRPr="00A50CE4">
        <w:t>Underlying this commitment was</w:t>
      </w:r>
      <w:r w:rsidR="009F7E47" w:rsidRPr="00A50CE4">
        <w:t xml:space="preserve"> the expectation </w:t>
      </w:r>
      <w:r w:rsidR="004B279C" w:rsidRPr="00A50CE4">
        <w:t xml:space="preserve">of reciprocity </w:t>
      </w:r>
      <w:r w:rsidR="00CB2970" w:rsidRPr="00A50CE4">
        <w:t xml:space="preserve">in the treatment of POWs </w:t>
      </w:r>
      <w:r w:rsidR="009F4782" w:rsidRPr="00A50CE4">
        <w:t>held by opposing powers, a</w:t>
      </w:r>
      <w:r w:rsidR="00BE35EF" w:rsidRPr="00A50CE4">
        <w:t>nd t</w:t>
      </w:r>
      <w:r w:rsidR="00CB2970" w:rsidRPr="00A50CE4">
        <w:t xml:space="preserve">he </w:t>
      </w:r>
      <w:r w:rsidR="004B279C" w:rsidRPr="00A50CE4">
        <w:t xml:space="preserve">risk that derogation from </w:t>
      </w:r>
      <w:r w:rsidR="00CB2970" w:rsidRPr="00A50CE4">
        <w:t xml:space="preserve">this </w:t>
      </w:r>
      <w:r w:rsidR="00BE35EF" w:rsidRPr="00A50CE4">
        <w:t>principle</w:t>
      </w:r>
      <w:r w:rsidR="00CB2970" w:rsidRPr="00A50CE4">
        <w:t xml:space="preserve"> could result in retaliation</w:t>
      </w:r>
      <w:r w:rsidR="004B279C" w:rsidRPr="00A50CE4">
        <w:t>.</w:t>
      </w:r>
      <w:r w:rsidR="00CB5BB4">
        <w:rPr>
          <w:rStyle w:val="FootnoteReference"/>
        </w:rPr>
        <w:footnoteReference w:id="21"/>
      </w:r>
      <w:r w:rsidR="00CB2970">
        <w:t xml:space="preserve"> </w:t>
      </w:r>
    </w:p>
    <w:p w14:paraId="41F7B102" w14:textId="47E9751D" w:rsidR="00954D74" w:rsidRPr="0082025A" w:rsidRDefault="000B06B6" w:rsidP="003E6D1B">
      <w:pPr>
        <w:spacing w:after="160" w:line="360" w:lineRule="auto"/>
        <w:ind w:left="360" w:right="360" w:firstLine="720"/>
        <w:jc w:val="both"/>
      </w:pPr>
      <w:r w:rsidRPr="00A50CE4">
        <w:t xml:space="preserve">Yet </w:t>
      </w:r>
      <w:r w:rsidR="00443A36" w:rsidRPr="00A50CE4">
        <w:t xml:space="preserve">in applying </w:t>
      </w:r>
      <w:r w:rsidR="00F878C3" w:rsidRPr="00A50CE4">
        <w:t>the Geneva Convention</w:t>
      </w:r>
      <w:r w:rsidR="000E4585">
        <w:t>s</w:t>
      </w:r>
      <w:r w:rsidR="00F878C3" w:rsidRPr="00A50CE4">
        <w:t xml:space="preserve">, </w:t>
      </w:r>
      <w:r w:rsidR="00EC5153">
        <w:t>the United States</w:t>
      </w:r>
      <w:r w:rsidRPr="00A50CE4">
        <w:t xml:space="preserve"> seem</w:t>
      </w:r>
      <w:r w:rsidR="00EC5153">
        <w:t>s</w:t>
      </w:r>
      <w:r w:rsidRPr="00A50CE4">
        <w:t xml:space="preserve"> to have gone above and beyond the mere letter of the law. </w:t>
      </w:r>
      <w:r w:rsidR="001904C4" w:rsidRPr="00A50CE4">
        <w:t>Prisoners enjoyed a variety of</w:t>
      </w:r>
      <w:r w:rsidR="00443A36" w:rsidRPr="00A50CE4">
        <w:t xml:space="preserve"> provisional accommodations</w:t>
      </w:r>
      <w:r w:rsidR="001904C4" w:rsidRPr="00A50CE4">
        <w:t xml:space="preserve">: they </w:t>
      </w:r>
      <w:r w:rsidR="00F878C3" w:rsidRPr="00A50CE4">
        <w:t>earned money by working</w:t>
      </w:r>
      <w:r w:rsidR="007E041A" w:rsidRPr="00A50CE4">
        <w:t xml:space="preserve"> on farms</w:t>
      </w:r>
      <w:r w:rsidR="00F878C3" w:rsidRPr="00A50CE4">
        <w:t xml:space="preserve"> or in canning factories</w:t>
      </w:r>
      <w:r w:rsidR="007E041A" w:rsidRPr="00A50CE4">
        <w:t xml:space="preserve">; studied literature, history, </w:t>
      </w:r>
      <w:r w:rsidR="00F878C3" w:rsidRPr="00A50CE4">
        <w:t xml:space="preserve">business, </w:t>
      </w:r>
      <w:r w:rsidR="007E041A" w:rsidRPr="00A50CE4">
        <w:t xml:space="preserve">and </w:t>
      </w:r>
      <w:r w:rsidR="00F878C3" w:rsidRPr="00A50CE4">
        <w:t>economics</w:t>
      </w:r>
      <w:r w:rsidR="007E041A" w:rsidRPr="00A50CE4">
        <w:t xml:space="preserve">; </w:t>
      </w:r>
      <w:r w:rsidR="001904C4" w:rsidRPr="00A50CE4">
        <w:t>played</w:t>
      </w:r>
      <w:r w:rsidR="00F878C3" w:rsidRPr="00A50CE4">
        <w:t xml:space="preserve"> l</w:t>
      </w:r>
      <w:r w:rsidR="001904C4" w:rsidRPr="00A50CE4">
        <w:t>eisurely soccer matches and other</w:t>
      </w:r>
      <w:r w:rsidR="00F878C3" w:rsidRPr="00A50CE4">
        <w:t xml:space="preserve"> games</w:t>
      </w:r>
      <w:r w:rsidR="006A48E1" w:rsidRPr="00A50CE4">
        <w:t xml:space="preserve">; </w:t>
      </w:r>
      <w:r w:rsidR="007E041A" w:rsidRPr="00A50CE4">
        <w:t xml:space="preserve">attended </w:t>
      </w:r>
      <w:r w:rsidR="006A48E1" w:rsidRPr="00A50CE4">
        <w:t xml:space="preserve">weekly </w:t>
      </w:r>
      <w:r w:rsidR="00F878C3" w:rsidRPr="00A50CE4">
        <w:t xml:space="preserve">film screenings and </w:t>
      </w:r>
      <w:r w:rsidR="007E041A" w:rsidRPr="00A50CE4">
        <w:t>church services</w:t>
      </w:r>
      <w:r w:rsidR="00F878C3" w:rsidRPr="00A50CE4">
        <w:t>; and even developed their own musical and theatrical ensembles</w:t>
      </w:r>
      <w:r w:rsidR="007E041A" w:rsidRPr="00A50CE4">
        <w:t>.</w:t>
      </w:r>
      <w:r w:rsidR="001904C4" w:rsidRPr="00A50CE4">
        <w:rPr>
          <w:rStyle w:val="FootnoteReference"/>
        </w:rPr>
        <w:footnoteReference w:id="22"/>
      </w:r>
      <w:r w:rsidR="007E041A" w:rsidRPr="00A50CE4">
        <w:t xml:space="preserve"> </w:t>
      </w:r>
      <w:r w:rsidR="00041DF1" w:rsidRPr="00A50CE4">
        <w:t xml:space="preserve">Indeed, historians generally agree that POWs in the United States enjoyed a much higher standard of living than those detained in other belligerent nations during </w:t>
      </w:r>
      <w:r w:rsidR="001904C4" w:rsidRPr="00A50CE4">
        <w:t>World War II</w:t>
      </w:r>
      <w:r w:rsidR="00041DF1" w:rsidRPr="00A50CE4">
        <w:t>.</w:t>
      </w:r>
      <w:r w:rsidR="000E4585">
        <w:rPr>
          <w:rStyle w:val="FootnoteReference"/>
        </w:rPr>
        <w:footnoteReference w:id="23"/>
      </w:r>
      <w:r w:rsidR="00041DF1" w:rsidRPr="00A50CE4">
        <w:t xml:space="preserve"> As</w:t>
      </w:r>
      <w:r w:rsidR="00041DF1" w:rsidRPr="00041DF1">
        <w:t xml:space="preserve"> </w:t>
      </w:r>
      <w:r w:rsidR="001904C4">
        <w:t>Robert Doyle</w:t>
      </w:r>
      <w:r w:rsidR="00041DF1" w:rsidRPr="00041DF1">
        <w:t xml:space="preserve"> points out, “German soldiers jokingly called the ‘PW’ stamped on the backs of their shirts and trousers </w:t>
      </w:r>
      <w:r w:rsidR="00041DF1" w:rsidRPr="00041DF1">
        <w:rPr>
          <w:i/>
          <w:iCs/>
        </w:rPr>
        <w:t>Pensionierte Wehrmacht</w:t>
      </w:r>
      <w:r w:rsidR="00041DF1" w:rsidRPr="00041DF1">
        <w:t>, or ‘military retiree,’ meaning they considered themselves put out to pasture.”</w:t>
      </w:r>
      <w:r w:rsidR="007E041A">
        <w:rPr>
          <w:rStyle w:val="FootnoteReference"/>
        </w:rPr>
        <w:footnoteReference w:id="24"/>
      </w:r>
    </w:p>
    <w:p w14:paraId="30B06B70" w14:textId="3D70EAEF" w:rsidR="003E6D1B" w:rsidRDefault="001904C4" w:rsidP="003E6D1B">
      <w:pPr>
        <w:spacing w:after="160" w:line="360" w:lineRule="auto"/>
        <w:ind w:left="360" w:right="360" w:firstLine="720"/>
        <w:jc w:val="both"/>
      </w:pPr>
      <w:r w:rsidRPr="007E11F6">
        <w:t>As global conflict persisted, however</w:t>
      </w:r>
      <w:r w:rsidR="00954D74" w:rsidRPr="007E11F6">
        <w:t>,</w:t>
      </w:r>
      <w:r w:rsidR="00F37135" w:rsidRPr="007E11F6">
        <w:t xml:space="preserve"> a war-weary American public became increasingly unsympathetic toward its domestic enemy prisoners</w:t>
      </w:r>
      <w:r w:rsidR="00954D74" w:rsidRPr="007E11F6">
        <w:t>.</w:t>
      </w:r>
      <w:r w:rsidR="00583F44" w:rsidRPr="007E11F6">
        <w:t xml:space="preserve"> </w:t>
      </w:r>
      <w:r w:rsidR="00401A9A" w:rsidRPr="007E11F6">
        <w:t>W</w:t>
      </w:r>
      <w:r w:rsidR="00A75FBB" w:rsidRPr="007E11F6">
        <w:t>ith rationing on the American home front, reports</w:t>
      </w:r>
      <w:r w:rsidR="00F37135" w:rsidRPr="007E11F6">
        <w:t xml:space="preserve"> (sometimes of questionable accuracy)</w:t>
      </w:r>
      <w:r w:rsidR="00A75FBB" w:rsidRPr="007E11F6">
        <w:t xml:space="preserve"> that POWs </w:t>
      </w:r>
      <w:r w:rsidR="00F37135" w:rsidRPr="007E11F6">
        <w:t>enjoyed</w:t>
      </w:r>
      <w:r w:rsidR="007C3600" w:rsidRPr="007E11F6">
        <w:t xml:space="preserve"> a virtually limitless supply of food, clean clothes, and other amenities</w:t>
      </w:r>
      <w:r w:rsidR="00F37135" w:rsidRPr="007E11F6">
        <w:t xml:space="preserve"> </w:t>
      </w:r>
      <w:r w:rsidR="00B82488" w:rsidRPr="007E11F6">
        <w:t xml:space="preserve">aroused </w:t>
      </w:r>
      <w:r w:rsidR="007C3600" w:rsidRPr="007E11F6">
        <w:t>public</w:t>
      </w:r>
      <w:r w:rsidR="00B82488" w:rsidRPr="007E11F6">
        <w:t xml:space="preserve"> indignation.</w:t>
      </w:r>
      <w:r w:rsidR="00B82488" w:rsidRPr="007E11F6">
        <w:rPr>
          <w:rStyle w:val="FootnoteReference"/>
        </w:rPr>
        <w:footnoteReference w:id="25"/>
      </w:r>
      <w:r w:rsidR="00B82488" w:rsidRPr="007E11F6">
        <w:t xml:space="preserve"> </w:t>
      </w:r>
      <w:r w:rsidR="00401A9A" w:rsidRPr="007E11F6">
        <w:t>Periodic news accounts of POW Nazism, prison camp escapes, and work strikes</w:t>
      </w:r>
      <w:r w:rsidR="00401A9A" w:rsidRPr="007E11F6">
        <w:rPr>
          <w:bCs/>
        </w:rPr>
        <w:t xml:space="preserve"> provoked even further an</w:t>
      </w:r>
      <w:r w:rsidR="005D7416">
        <w:rPr>
          <w:bCs/>
        </w:rPr>
        <w:t>tipathy</w:t>
      </w:r>
      <w:r w:rsidR="00401A9A" w:rsidRPr="007E11F6">
        <w:rPr>
          <w:bCs/>
        </w:rPr>
        <w:t xml:space="preserve">. </w:t>
      </w:r>
      <w:r w:rsidR="00BD67BB" w:rsidRPr="007E11F6">
        <w:rPr>
          <w:bCs/>
        </w:rPr>
        <w:t>Consequently</w:t>
      </w:r>
      <w:r w:rsidR="0003713E" w:rsidRPr="007E11F6">
        <w:rPr>
          <w:bCs/>
        </w:rPr>
        <w:t>,</w:t>
      </w:r>
      <w:r w:rsidR="00BD67BB" w:rsidRPr="007E11F6">
        <w:rPr>
          <w:bCs/>
        </w:rPr>
        <w:t xml:space="preserve"> accusations of POW “coddling” </w:t>
      </w:r>
      <w:r w:rsidR="00B82488" w:rsidRPr="007E11F6">
        <w:rPr>
          <w:bCs/>
        </w:rPr>
        <w:t>appeared</w:t>
      </w:r>
      <w:r w:rsidR="00BD67BB" w:rsidRPr="007E11F6">
        <w:rPr>
          <w:bCs/>
        </w:rPr>
        <w:t xml:space="preserve"> with </w:t>
      </w:r>
      <w:r w:rsidR="0003713E" w:rsidRPr="007E11F6">
        <w:rPr>
          <w:bCs/>
        </w:rPr>
        <w:t xml:space="preserve">greater </w:t>
      </w:r>
      <w:r w:rsidR="00BD67BB" w:rsidRPr="007E11F6">
        <w:rPr>
          <w:bCs/>
        </w:rPr>
        <w:t xml:space="preserve">frequency in the press, ultimately leading to </w:t>
      </w:r>
      <w:r w:rsidR="00896D5A" w:rsidRPr="007E11F6">
        <w:rPr>
          <w:bCs/>
        </w:rPr>
        <w:t>a congressional investigation</w:t>
      </w:r>
      <w:r w:rsidR="00401A9A" w:rsidRPr="007E11F6">
        <w:rPr>
          <w:bCs/>
        </w:rPr>
        <w:t xml:space="preserve"> in 1944</w:t>
      </w:r>
      <w:r w:rsidR="00BD67BB" w:rsidRPr="007E11F6">
        <w:rPr>
          <w:bCs/>
        </w:rPr>
        <w:t>.</w:t>
      </w:r>
      <w:r w:rsidR="00F56422">
        <w:rPr>
          <w:rStyle w:val="FootnoteReference"/>
          <w:bCs/>
        </w:rPr>
        <w:footnoteReference w:id="26"/>
      </w:r>
      <w:r w:rsidR="00BD67BB" w:rsidRPr="007E11F6">
        <w:rPr>
          <w:bCs/>
        </w:rPr>
        <w:t xml:space="preserve"> </w:t>
      </w:r>
      <w:r w:rsidRPr="007E11F6">
        <w:t>To make matters worse</w:t>
      </w:r>
      <w:r w:rsidR="00401A9A" w:rsidRPr="007E11F6">
        <w:t xml:space="preserve">, it </w:t>
      </w:r>
      <w:r w:rsidR="00F37135" w:rsidRPr="007E11F6">
        <w:t xml:space="preserve">became increasingly clear that American POWs abroad enjoyed few, if any, of the </w:t>
      </w:r>
      <w:r w:rsidR="00401A9A" w:rsidRPr="007E11F6">
        <w:t>comforts</w:t>
      </w:r>
      <w:r w:rsidR="00F37135" w:rsidRPr="007E11F6">
        <w:t xml:space="preserve"> afforded their enemy counterparts in the United States</w:t>
      </w:r>
      <w:r w:rsidR="00401A9A" w:rsidRPr="007E11F6">
        <w:t>.</w:t>
      </w:r>
      <w:r w:rsidR="00F56422">
        <w:rPr>
          <w:rStyle w:val="FootnoteReference"/>
        </w:rPr>
        <w:footnoteReference w:id="27"/>
      </w:r>
      <w:r w:rsidR="00401A9A" w:rsidRPr="007E11F6">
        <w:t xml:space="preserve"> </w:t>
      </w:r>
      <w:r w:rsidRPr="007E11F6">
        <w:t>R</w:t>
      </w:r>
      <w:r w:rsidR="00401A9A" w:rsidRPr="007E11F6">
        <w:t xml:space="preserve">eports of </w:t>
      </w:r>
      <w:r w:rsidR="00145F4B" w:rsidRPr="007E11F6">
        <w:t xml:space="preserve">abuse and inhumane camp conditions </w:t>
      </w:r>
      <w:r w:rsidR="00C83839" w:rsidRPr="007E11F6">
        <w:t xml:space="preserve">revealed gaping disparities in levels of </w:t>
      </w:r>
      <w:r w:rsidR="00871D2B" w:rsidRPr="007E11F6">
        <w:t xml:space="preserve">POW </w:t>
      </w:r>
      <w:r w:rsidR="00C83839" w:rsidRPr="007E11F6">
        <w:t>treatment</w:t>
      </w:r>
      <w:r w:rsidR="00401A9A" w:rsidRPr="007E11F6">
        <w:t>.</w:t>
      </w:r>
      <w:r w:rsidR="00401A9A" w:rsidRPr="00F44F7B">
        <w:t xml:space="preserve"> </w:t>
      </w:r>
    </w:p>
    <w:p w14:paraId="157BBFFE" w14:textId="4EFFDA03" w:rsidR="007E11F6" w:rsidRDefault="007E11F6" w:rsidP="003E6D1B">
      <w:pPr>
        <w:spacing w:after="160" w:line="360" w:lineRule="auto"/>
        <w:ind w:left="360" w:right="360" w:firstLine="720"/>
        <w:jc w:val="both"/>
      </w:pPr>
      <w:r w:rsidRPr="007E11F6">
        <w:t>Thus</w:t>
      </w:r>
      <w:r w:rsidR="001904C4" w:rsidRPr="007E11F6">
        <w:t>, w</w:t>
      </w:r>
      <w:r w:rsidR="005B1DBD" w:rsidRPr="007E11F6">
        <w:t>ith</w:t>
      </w:r>
      <w:r w:rsidR="00145F4B" w:rsidRPr="007E11F6">
        <w:t xml:space="preserve"> little</w:t>
      </w:r>
      <w:r w:rsidR="00871D2B" w:rsidRPr="007E11F6">
        <w:t xml:space="preserve"> practical reason to </w:t>
      </w:r>
      <w:r w:rsidR="005B1DBD" w:rsidRPr="007E11F6">
        <w:t>follow</w:t>
      </w:r>
      <w:r w:rsidR="00871D2B" w:rsidRPr="007E11F6">
        <w:t xml:space="preserve"> the </w:t>
      </w:r>
      <w:r w:rsidR="005B1DBD" w:rsidRPr="007E11F6">
        <w:t>Golden Rule of reciprocity, the United States could easily have abandoned it</w:t>
      </w:r>
      <w:r w:rsidR="00132AF4" w:rsidRPr="007E11F6">
        <w:t>s</w:t>
      </w:r>
      <w:r w:rsidR="005B1DBD" w:rsidRPr="007E11F6">
        <w:t xml:space="preserve"> obligations</w:t>
      </w:r>
      <w:r w:rsidR="005B1DBD" w:rsidRPr="00F44F7B">
        <w:t xml:space="preserve"> under the Geneva Convention</w:t>
      </w:r>
      <w:r w:rsidR="00F56422">
        <w:t>s</w:t>
      </w:r>
      <w:r w:rsidR="005B1DBD" w:rsidRPr="00F44F7B">
        <w:t xml:space="preserve">; remarkably, however, it did not. </w:t>
      </w:r>
      <w:r w:rsidR="00145F4B" w:rsidRPr="00F44F7B">
        <w:t>In renouncing the</w:t>
      </w:r>
      <w:r w:rsidR="00622E76" w:rsidRPr="00F44F7B">
        <w:t xml:space="preserve"> </w:t>
      </w:r>
      <w:r w:rsidR="00622E76" w:rsidRPr="00F44F7B">
        <w:rPr>
          <w:i/>
        </w:rPr>
        <w:t>lex talionis</w:t>
      </w:r>
      <w:r w:rsidR="00622E76" w:rsidRPr="00F44F7B">
        <w:t xml:space="preserve">, Americans pursued the moral </w:t>
      </w:r>
      <w:r w:rsidR="002C13AD">
        <w:t xml:space="preserve">high </w:t>
      </w:r>
      <w:r w:rsidR="00622E76" w:rsidRPr="00F44F7B">
        <w:t xml:space="preserve">ground in adhering to </w:t>
      </w:r>
      <w:r w:rsidR="002C13AD">
        <w:t xml:space="preserve">the </w:t>
      </w:r>
      <w:r w:rsidR="00622E76" w:rsidRPr="00F44F7B">
        <w:t>principles of international humanitarian law.</w:t>
      </w:r>
    </w:p>
    <w:p w14:paraId="4A3FB845" w14:textId="098D058A" w:rsidR="00B038B0" w:rsidRPr="002F5912" w:rsidRDefault="00765EB7" w:rsidP="00B038B0">
      <w:pPr>
        <w:spacing w:after="160" w:line="360" w:lineRule="auto"/>
        <w:ind w:left="360" w:right="360" w:firstLine="720"/>
        <w:jc w:val="both"/>
      </w:pPr>
      <w:r>
        <w:t>Of course, there were limits to the American sense of humanity.</w:t>
      </w:r>
      <w:r w:rsidR="00F56422">
        <w:t xml:space="preserve"> </w:t>
      </w:r>
      <w:r w:rsidR="007E11F6" w:rsidRPr="007E11F6">
        <w:t>The tragic irony during this period</w:t>
      </w:r>
      <w:r>
        <w:t>, as any casual student of history is aware,</w:t>
      </w:r>
      <w:r w:rsidR="007E11F6" w:rsidRPr="007E11F6">
        <w:t xml:space="preserve"> was the forced removal of over 120,000 Japanese Americans—many of whom were U.S. citizens—to internment, or “relocation,” camps following the Japanese attack on Pearl Harbor. With no charges against them, and with no right to appeal their incarceration, Japanese-American internees lost their personal liberties and most lost their homes, property, and livelihoods.</w:t>
      </w:r>
      <w:r w:rsidR="007E11F6" w:rsidRPr="007E11F6">
        <w:rPr>
          <w:rStyle w:val="FootnoteReference"/>
        </w:rPr>
        <w:footnoteReference w:id="28"/>
      </w:r>
      <w:r w:rsidR="007E11F6" w:rsidRPr="007E11F6">
        <w:t xml:space="preserve"> With </w:t>
      </w:r>
      <w:r w:rsidR="007E11F6">
        <w:t>few</w:t>
      </w:r>
      <w:r w:rsidR="007E11F6" w:rsidRPr="007E11F6">
        <w:t xml:space="preserve"> exceptions, Americans of German and Italian descent largely avoided a similar fate of mass roundup and incarceration—a clear display of prevailing ideas of race and foreignness.</w:t>
      </w:r>
      <w:r w:rsidR="007E11F6" w:rsidRPr="007E11F6">
        <w:rPr>
          <w:rStyle w:val="FootnoteReference"/>
        </w:rPr>
        <w:footnoteReference w:id="29"/>
      </w:r>
    </w:p>
    <w:p w14:paraId="1968693C" w14:textId="08DE1106" w:rsidR="002C51C1" w:rsidRPr="00B038B0" w:rsidRDefault="00622E76" w:rsidP="00B038B0">
      <w:pPr>
        <w:spacing w:after="160" w:line="360" w:lineRule="auto"/>
        <w:ind w:left="360" w:right="360" w:firstLine="720"/>
        <w:jc w:val="both"/>
      </w:pPr>
      <w:r w:rsidRPr="007E11F6">
        <w:t>What does this chapter of</w:t>
      </w:r>
      <w:r w:rsidR="009B66E8" w:rsidRPr="007E11F6">
        <w:t xml:space="preserve"> history say</w:t>
      </w:r>
      <w:r w:rsidR="00622283" w:rsidRPr="007E11F6">
        <w:t xml:space="preserve"> about the United States</w:t>
      </w:r>
      <w:r w:rsidR="009B66E8" w:rsidRPr="007E11F6">
        <w:t>? What import, if any, does (or should) it h</w:t>
      </w:r>
      <w:r w:rsidR="002C13AD" w:rsidRPr="007E11F6">
        <w:t>ave on modern U.S. policy</w:t>
      </w:r>
      <w:r w:rsidR="009B66E8" w:rsidRPr="007E11F6">
        <w:t>?</w:t>
      </w:r>
      <w:r w:rsidR="009B66E8" w:rsidRPr="0082025A">
        <w:t xml:space="preserve"> </w:t>
      </w:r>
      <w:r w:rsidR="007E11F6" w:rsidRPr="002B305A">
        <w:t>In seeking to answer these questions, this story focuses on the State of Indiana. To be sure, the Hoosier experience departed little from that of other communities throughout the nation. However, by examining this period through a</w:t>
      </w:r>
      <w:r w:rsidR="00765EB7">
        <w:t xml:space="preserve"> lens of</w:t>
      </w:r>
      <w:r w:rsidR="007E11F6" w:rsidRPr="002B305A">
        <w:t xml:space="preserve"> state and local </w:t>
      </w:r>
      <w:r w:rsidR="00765EB7">
        <w:t>activity</w:t>
      </w:r>
      <w:r w:rsidR="007E11F6" w:rsidRPr="002B305A">
        <w:t>, the story aims to create an intimate, real-life perspective that broad, general studies often fail to impart.</w:t>
      </w:r>
    </w:p>
    <w:p w14:paraId="5D1850BD" w14:textId="56477ED3" w:rsidR="009B66E8" w:rsidRPr="0082748C" w:rsidRDefault="009B66E8" w:rsidP="00D50528">
      <w:pPr>
        <w:ind w:left="360" w:right="360"/>
        <w:jc w:val="center"/>
        <w:rPr>
          <w:b/>
          <w:bCs/>
          <w:smallCaps/>
        </w:rPr>
      </w:pPr>
      <w:r w:rsidRPr="0082748C">
        <w:rPr>
          <w:b/>
          <w:bCs/>
          <w:smallCaps/>
        </w:rPr>
        <w:t xml:space="preserve">2. </w:t>
      </w:r>
      <w:r w:rsidR="00434C40" w:rsidRPr="0082748C">
        <w:rPr>
          <w:b/>
          <w:bCs/>
          <w:smallCaps/>
        </w:rPr>
        <w:t>Legal Protections During War and Armed Conflict:</w:t>
      </w:r>
      <w:r w:rsidR="00DA7F64" w:rsidRPr="0082748C">
        <w:rPr>
          <w:b/>
          <w:bCs/>
          <w:smallCaps/>
        </w:rPr>
        <w:t xml:space="preserve"> </w:t>
      </w:r>
      <w:r w:rsidR="00434C40" w:rsidRPr="0082748C">
        <w:rPr>
          <w:b/>
          <w:bCs/>
          <w:smallCaps/>
        </w:rPr>
        <w:t>The Philosophy and Framework</w:t>
      </w:r>
      <w:r w:rsidR="00DA7F64" w:rsidRPr="0082748C">
        <w:rPr>
          <w:b/>
          <w:bCs/>
          <w:smallCaps/>
        </w:rPr>
        <w:t xml:space="preserve"> of International Humanitarian Law</w:t>
      </w:r>
    </w:p>
    <w:p w14:paraId="3DD36BEB" w14:textId="77777777" w:rsidR="006F48A0" w:rsidRPr="0082025A" w:rsidRDefault="006F48A0" w:rsidP="006F48A0"/>
    <w:p w14:paraId="6F6E4B7D" w14:textId="7E8BF422" w:rsidR="009B2A86" w:rsidRDefault="0084707E" w:rsidP="003E6D1B">
      <w:pPr>
        <w:spacing w:after="160" w:line="360" w:lineRule="auto"/>
        <w:ind w:left="360" w:right="360" w:firstLine="720"/>
        <w:jc w:val="both"/>
      </w:pPr>
      <w:r w:rsidRPr="007E11F6">
        <w:t xml:space="preserve">Despite centuries of diplomacy and countless peace treaties, warfare and armed conflict </w:t>
      </w:r>
      <w:r w:rsidR="00B038B0">
        <w:t xml:space="preserve">has </w:t>
      </w:r>
      <w:r w:rsidRPr="007E11F6">
        <w:t>continue</w:t>
      </w:r>
      <w:r w:rsidR="00B038B0">
        <w:t>d</w:t>
      </w:r>
      <w:r w:rsidRPr="007E11F6">
        <w:t xml:space="preserve"> to plague the global community.</w:t>
      </w:r>
      <w:r w:rsidR="0022768B" w:rsidRPr="007E11F6">
        <w:t xml:space="preserve"> </w:t>
      </w:r>
      <w:r w:rsidRPr="007E11F6">
        <w:t>In recognizing this reality</w:t>
      </w:r>
      <w:r w:rsidR="0022768B" w:rsidRPr="007E11F6">
        <w:t>, nations have</w:t>
      </w:r>
      <w:r w:rsidRPr="007E11F6">
        <w:t xml:space="preserve"> </w:t>
      </w:r>
      <w:r w:rsidR="0022768B" w:rsidRPr="007E11F6">
        <w:t xml:space="preserve">agreed to </w:t>
      </w:r>
      <w:r w:rsidRPr="007E11F6">
        <w:t>follow certain</w:t>
      </w:r>
      <w:r w:rsidR="0022768B" w:rsidRPr="007E11F6">
        <w:t xml:space="preserve"> rule</w:t>
      </w:r>
      <w:r w:rsidR="00B038B0">
        <w:t>s limiting their conduct in war</w:t>
      </w:r>
      <w:r w:rsidR="0022768B" w:rsidRPr="007E11F6">
        <w:t xml:space="preserve"> in </w:t>
      </w:r>
      <w:r w:rsidRPr="007E11F6">
        <w:t>exchange</w:t>
      </w:r>
      <w:r w:rsidR="0022768B" w:rsidRPr="007E11F6">
        <w:t xml:space="preserve"> for the enemy’s agreement to </w:t>
      </w:r>
      <w:r w:rsidRPr="007E11F6">
        <w:t>do the same</w:t>
      </w:r>
      <w:r w:rsidR="0022768B" w:rsidRPr="007E11F6">
        <w:t xml:space="preserve">. </w:t>
      </w:r>
      <w:r w:rsidR="000E6A85" w:rsidRPr="007E11F6">
        <w:t>The Geneva Conventions</w:t>
      </w:r>
      <w:r w:rsidR="00860E12" w:rsidRPr="007E11F6">
        <w:t xml:space="preserve"> (</w:t>
      </w:r>
      <w:r w:rsidR="006803A9" w:rsidRPr="007E11F6">
        <w:t>w</w:t>
      </w:r>
      <w:r w:rsidR="00FA0F94" w:rsidRPr="007E11F6">
        <w:t xml:space="preserve">hich today consist of four </w:t>
      </w:r>
      <w:r w:rsidR="006803A9" w:rsidRPr="007E11F6">
        <w:t>treaties</w:t>
      </w:r>
      <w:r w:rsidR="00860E12" w:rsidRPr="007E11F6">
        <w:t xml:space="preserve"> and three additional protocols),</w:t>
      </w:r>
      <w:r w:rsidR="007E11F6" w:rsidRPr="007E11F6">
        <w:rPr>
          <w:rStyle w:val="FootnoteReference"/>
        </w:rPr>
        <w:footnoteReference w:id="30"/>
      </w:r>
      <w:r w:rsidR="00860E12" w:rsidRPr="007E11F6">
        <w:t xml:space="preserve"> along with The Hague Conventions, form the basis to this agreement among nations.</w:t>
      </w:r>
      <w:r w:rsidR="006803A9" w:rsidRPr="007E11F6">
        <w:t xml:space="preserve"> </w:t>
      </w:r>
      <w:r w:rsidR="00860E12" w:rsidRPr="007E11F6">
        <w:t xml:space="preserve">Known as </w:t>
      </w:r>
      <w:r w:rsidR="006803A9" w:rsidRPr="007E11F6">
        <w:t>Inte</w:t>
      </w:r>
      <w:r w:rsidR="00860E12" w:rsidRPr="007E11F6">
        <w:t>rnational Humanitarian Law,</w:t>
      </w:r>
      <w:r w:rsidR="00B51A65" w:rsidRPr="007E11F6">
        <w:t xml:space="preserve"> or </w:t>
      </w:r>
      <w:r w:rsidR="00B51A65" w:rsidRPr="007E11F6">
        <w:rPr>
          <w:i/>
        </w:rPr>
        <w:t>jus in bello</w:t>
      </w:r>
      <w:r w:rsidR="00B51A65" w:rsidRPr="007E11F6">
        <w:t>,</w:t>
      </w:r>
      <w:r w:rsidR="00B51A65" w:rsidRPr="007E11F6">
        <w:rPr>
          <w:rStyle w:val="FootnoteReference"/>
        </w:rPr>
        <w:footnoteReference w:id="31"/>
      </w:r>
      <w:r w:rsidR="00860E12" w:rsidRPr="007E11F6">
        <w:t xml:space="preserve"> this branch </w:t>
      </w:r>
      <w:r w:rsidR="00EF0B60" w:rsidRPr="007E11F6">
        <w:t xml:space="preserve">of </w:t>
      </w:r>
      <w:r w:rsidR="00860E12" w:rsidRPr="007E11F6">
        <w:t>international law</w:t>
      </w:r>
      <w:r w:rsidR="00AB61D8" w:rsidRPr="007E11F6">
        <w:t xml:space="preserve"> </w:t>
      </w:r>
      <w:r w:rsidR="00EF0B60" w:rsidRPr="007E11F6">
        <w:t>seeks to limit</w:t>
      </w:r>
      <w:r w:rsidR="00AB61D8" w:rsidRPr="007E11F6">
        <w:t xml:space="preserve"> the use of</w:t>
      </w:r>
      <w:r w:rsidR="00C05F64" w:rsidRPr="007E11F6">
        <w:t xml:space="preserve"> force in armed conflicts by</w:t>
      </w:r>
      <w:r w:rsidR="00AB61D8" w:rsidRPr="007E11F6">
        <w:t xml:space="preserve"> (1) sparing those who do not, or no longer, participate</w:t>
      </w:r>
      <w:r w:rsidR="00C05F64" w:rsidRPr="007E11F6">
        <w:t xml:space="preserve"> directly</w:t>
      </w:r>
      <w:r w:rsidR="00AB61D8" w:rsidRPr="007E11F6">
        <w:t xml:space="preserve"> in hostilities; and (2) restricting it to the </w:t>
      </w:r>
      <w:r w:rsidR="00C05F64" w:rsidRPr="007E11F6">
        <w:t>degree</w:t>
      </w:r>
      <w:r w:rsidR="00AB61D8" w:rsidRPr="007E11F6">
        <w:t xml:space="preserve"> necessary to weak</w:t>
      </w:r>
      <w:r w:rsidR="009B2A86" w:rsidRPr="007E11F6">
        <w:t>en the enemy’s military potential</w:t>
      </w:r>
      <w:r w:rsidR="00AB61D8" w:rsidRPr="007E11F6">
        <w:t>.</w:t>
      </w:r>
      <w:r w:rsidR="00280704">
        <w:rPr>
          <w:rStyle w:val="FootnoteReference"/>
        </w:rPr>
        <w:footnoteReference w:id="32"/>
      </w:r>
      <w:r w:rsidR="00AB61D8">
        <w:t xml:space="preserve"> Underlying this definition are several basic principles: (a) the </w:t>
      </w:r>
      <w:r w:rsidR="00AB61D8" w:rsidRPr="00AB61D8">
        <w:t>distinction b</w:t>
      </w:r>
      <w:r w:rsidR="000E10CE">
        <w:t>etween civilians and combatants;</w:t>
      </w:r>
      <w:r w:rsidR="00AB61D8">
        <w:t xml:space="preserve"> (b) the </w:t>
      </w:r>
      <w:r w:rsidR="00AB61D8" w:rsidRPr="00AB61D8">
        <w:t xml:space="preserve">prohibition </w:t>
      </w:r>
      <w:r w:rsidR="00C05F64">
        <w:t>on</w:t>
      </w:r>
      <w:r w:rsidR="00AB61D8" w:rsidRPr="00AB61D8">
        <w:t xml:space="preserve"> attack</w:t>
      </w:r>
      <w:r w:rsidR="00C05F64">
        <w:t>ing</w:t>
      </w:r>
      <w:r w:rsidR="00AB61D8" w:rsidRPr="00AB61D8">
        <w:t xml:space="preserve"> those </w:t>
      </w:r>
      <w:r w:rsidR="00AB61D8" w:rsidRPr="00AB61D8">
        <w:rPr>
          <w:i/>
          <w:iCs/>
        </w:rPr>
        <w:t>hors de combat</w:t>
      </w:r>
      <w:r w:rsidR="00AB61D8">
        <w:rPr>
          <w:i/>
          <w:iCs/>
        </w:rPr>
        <w:t xml:space="preserve"> </w:t>
      </w:r>
      <w:r w:rsidR="00AB61D8">
        <w:rPr>
          <w:iCs/>
        </w:rPr>
        <w:t>(i.e.</w:t>
      </w:r>
      <w:r w:rsidR="00AB61D8" w:rsidRPr="00AB61D8">
        <w:t>,</w:t>
      </w:r>
      <w:r w:rsidR="00AB61D8">
        <w:t xml:space="preserve"> </w:t>
      </w:r>
      <w:r w:rsidR="000E10CE">
        <w:t>out of action);</w:t>
      </w:r>
      <w:r w:rsidR="00AB61D8">
        <w:t xml:space="preserve"> (c) the </w:t>
      </w:r>
      <w:r w:rsidR="00C05F64">
        <w:t>prohibition on</w:t>
      </w:r>
      <w:r w:rsidR="000E10CE">
        <w:t xml:space="preserve"> inflict</w:t>
      </w:r>
      <w:r w:rsidR="00C05F64">
        <w:t>ing</w:t>
      </w:r>
      <w:r w:rsidR="000E10CE">
        <w:t xml:space="preserve"> unnecessary suffering;</w:t>
      </w:r>
      <w:r w:rsidR="00AB61D8">
        <w:t xml:space="preserve"> (d) </w:t>
      </w:r>
      <w:r w:rsidR="000E10CE">
        <w:t>necessity;</w:t>
      </w:r>
      <w:r w:rsidR="00AB61D8" w:rsidRPr="00AB61D8">
        <w:t xml:space="preserve"> and</w:t>
      </w:r>
      <w:r w:rsidR="00AB61D8">
        <w:t xml:space="preserve"> (e) </w:t>
      </w:r>
      <w:r w:rsidR="00AB61D8" w:rsidRPr="00AB61D8">
        <w:t>proportionality.</w:t>
      </w:r>
      <w:r w:rsidR="000E10CE">
        <w:rPr>
          <w:rStyle w:val="FootnoteReference"/>
        </w:rPr>
        <w:footnoteReference w:id="33"/>
      </w:r>
    </w:p>
    <w:p w14:paraId="0EEE79BF" w14:textId="4CD005B5" w:rsidR="00E3697C" w:rsidRPr="00280704" w:rsidRDefault="009B2A86" w:rsidP="00280704">
      <w:pPr>
        <w:spacing w:after="160" w:line="360" w:lineRule="auto"/>
        <w:ind w:left="360" w:right="360" w:firstLine="720"/>
        <w:jc w:val="both"/>
      </w:pPr>
      <w:r>
        <w:t xml:space="preserve">The </w:t>
      </w:r>
      <w:r w:rsidRPr="0082025A">
        <w:t>evolutionary process</w:t>
      </w:r>
      <w:r>
        <w:t xml:space="preserve"> resulting in the codification of these principles</w:t>
      </w:r>
      <w:r w:rsidRPr="0082025A">
        <w:t xml:space="preserve"> </w:t>
      </w:r>
      <w:r>
        <w:t>reflects an expansive history marked by shifting practices and philosophies in warfare</w:t>
      </w:r>
      <w:r w:rsidRPr="0082025A">
        <w:t>.</w:t>
      </w:r>
    </w:p>
    <w:p w14:paraId="08DE4B44" w14:textId="2354A708" w:rsidR="009B66E8" w:rsidRPr="0082748C" w:rsidRDefault="003E288B" w:rsidP="00D50528">
      <w:pPr>
        <w:ind w:left="360" w:right="360"/>
        <w:jc w:val="center"/>
        <w:rPr>
          <w:b/>
          <w:bCs/>
          <w:smallCaps/>
        </w:rPr>
      </w:pPr>
      <w:r w:rsidRPr="0082748C">
        <w:rPr>
          <w:b/>
          <w:bCs/>
          <w:smallCaps/>
        </w:rPr>
        <w:t>Origins</w:t>
      </w:r>
      <w:r w:rsidR="001F510E" w:rsidRPr="0082748C">
        <w:rPr>
          <w:b/>
          <w:bCs/>
          <w:smallCaps/>
        </w:rPr>
        <w:t xml:space="preserve"> and Development</w:t>
      </w:r>
      <w:r w:rsidR="00580DF3" w:rsidRPr="0082748C">
        <w:rPr>
          <w:b/>
          <w:bCs/>
          <w:smallCaps/>
        </w:rPr>
        <w:t xml:space="preserve"> of </w:t>
      </w:r>
      <w:r w:rsidR="00580DF3" w:rsidRPr="0082748C">
        <w:rPr>
          <w:b/>
          <w:bCs/>
          <w:i/>
          <w:smallCaps/>
        </w:rPr>
        <w:t>Jus in Bello</w:t>
      </w:r>
    </w:p>
    <w:p w14:paraId="0E86EC03" w14:textId="77777777" w:rsidR="003E288B" w:rsidRDefault="003E288B" w:rsidP="00F23704"/>
    <w:p w14:paraId="73EC5290" w14:textId="193B7079" w:rsidR="00C15D15" w:rsidRDefault="00C15D15" w:rsidP="00280704">
      <w:pPr>
        <w:spacing w:after="160" w:line="360" w:lineRule="auto"/>
        <w:ind w:left="360" w:right="360" w:firstLine="720"/>
        <w:jc w:val="both"/>
      </w:pPr>
      <w:r>
        <w:t>Under ancient laws and customs</w:t>
      </w:r>
      <w:r w:rsidR="00041DF1">
        <w:t xml:space="preserve"> of war</w:t>
      </w:r>
      <w:r w:rsidR="009B2A86">
        <w:t>fare</w:t>
      </w:r>
      <w:r>
        <w:t>, captured enemies enjoyed few if an</w:t>
      </w:r>
      <w:r w:rsidR="00280704">
        <w:t>y rights of protected status; the soldier</w:t>
      </w:r>
      <w:r>
        <w:t xml:space="preserve"> </w:t>
      </w:r>
      <w:r w:rsidRPr="001A13CB">
        <w:t>was either killed or</w:t>
      </w:r>
      <w:r>
        <w:t>—depending on his usefulness—enslaved by his captor</w:t>
      </w:r>
      <w:r w:rsidRPr="001A13CB">
        <w:t xml:space="preserve">. </w:t>
      </w:r>
      <w:r w:rsidR="00280704">
        <w:t>L</w:t>
      </w:r>
      <w:r>
        <w:t xml:space="preserve">ittle distinction was made between active belligerents and enemy civilians. </w:t>
      </w:r>
      <w:r w:rsidR="006E7A42">
        <w:t>Among the very few to break with these conventions</w:t>
      </w:r>
      <w:r>
        <w:t>, Chinese military strategist Sun Tzu raised the novel concept of benevolence toward prisoners of war.</w:t>
      </w:r>
      <w:r>
        <w:rPr>
          <w:rStyle w:val="FootnoteReference"/>
        </w:rPr>
        <w:footnoteReference w:id="34"/>
      </w:r>
      <w:r>
        <w:t xml:space="preserve"> In </w:t>
      </w:r>
      <w:r w:rsidRPr="003879D2">
        <w:rPr>
          <w:i/>
        </w:rPr>
        <w:t>The Art of War</w:t>
      </w:r>
      <w:r>
        <w:t>, he advocated the idea that “captured soldiers should be kindly treated and kept.”</w:t>
      </w:r>
      <w:r w:rsidR="00280704">
        <w:rPr>
          <w:rStyle w:val="FootnoteReference"/>
        </w:rPr>
        <w:footnoteReference w:id="35"/>
      </w:r>
      <w:r>
        <w:t xml:space="preserve"> </w:t>
      </w:r>
    </w:p>
    <w:p w14:paraId="44235B40" w14:textId="07809E98" w:rsidR="00C15D15" w:rsidRDefault="00C15D15" w:rsidP="003E6D1B">
      <w:pPr>
        <w:spacing w:after="160" w:line="360" w:lineRule="auto"/>
        <w:ind w:left="360" w:right="360" w:firstLine="720"/>
        <w:jc w:val="both"/>
      </w:pPr>
      <w:r>
        <w:t xml:space="preserve">While enslavement of captured enemy soldiers in Europe declined during the Middle Ages, the practice of ransoming high-ranking military officials persisted into the late-sixteenth and early-seventeenth centuries. By then, leading </w:t>
      </w:r>
      <w:r w:rsidRPr="001A13CB">
        <w:t>political and legal philosophers</w:t>
      </w:r>
      <w:r w:rsidR="006E7A42">
        <w:t>,</w:t>
      </w:r>
      <w:r>
        <w:t xml:space="preserve"> </w:t>
      </w:r>
      <w:r w:rsidR="006E7A42">
        <w:t>such as Hugo Grotius, sought</w:t>
      </w:r>
      <w:r w:rsidR="00731188">
        <w:t xml:space="preserve"> ways to</w:t>
      </w:r>
      <w:r w:rsidRPr="001A13CB">
        <w:t xml:space="preserve"> </w:t>
      </w:r>
      <w:r w:rsidR="00731188">
        <w:t>mitigate violence</w:t>
      </w:r>
      <w:r>
        <w:t xml:space="preserve"> </w:t>
      </w:r>
      <w:r w:rsidR="00731188">
        <w:t>toward</w:t>
      </w:r>
      <w:r w:rsidRPr="001A13CB">
        <w:t xml:space="preserve"> prisoners</w:t>
      </w:r>
      <w:r>
        <w:t xml:space="preserve"> of war</w:t>
      </w:r>
      <w:r w:rsidRPr="001A13CB">
        <w:t xml:space="preserve">. </w:t>
      </w:r>
      <w:bookmarkStart w:id="0" w:name="ref187282"/>
      <w:bookmarkEnd w:id="0"/>
      <w:r>
        <w:t xml:space="preserve">A turning point </w:t>
      </w:r>
      <w:r w:rsidR="003F114E">
        <w:t>came</w:t>
      </w:r>
      <w:r>
        <w:t xml:space="preserve"> in 1648 with t</w:t>
      </w:r>
      <w:r w:rsidRPr="001A13CB">
        <w:t xml:space="preserve">he </w:t>
      </w:r>
      <w:r w:rsidRPr="009E74C8">
        <w:t>Treaty of Westphalia</w:t>
      </w:r>
      <w:r>
        <w:t>.</w:t>
      </w:r>
      <w:r w:rsidRPr="001A13CB">
        <w:t xml:space="preserve"> </w:t>
      </w:r>
      <w:r>
        <w:t>Under its terms, which ended t</w:t>
      </w:r>
      <w:r w:rsidR="00E3012D">
        <w:t>he Thirty Years War in Europe, all p</w:t>
      </w:r>
      <w:r w:rsidRPr="006C5D0B">
        <w:t>risoners</w:t>
      </w:r>
      <w:r w:rsidR="00E3012D">
        <w:t>,</w:t>
      </w:r>
      <w:r w:rsidRPr="006C5D0B">
        <w:t xml:space="preserve"> </w:t>
      </w:r>
      <w:r w:rsidR="00E3012D">
        <w:t>“</w:t>
      </w:r>
      <w:r w:rsidRPr="006C5D0B">
        <w:t>without any distinction of the Gow</w:t>
      </w:r>
      <w:r w:rsidR="00E3012D">
        <w:t>n or the Sword,” were to be released and repatriated.</w:t>
      </w:r>
      <w:r w:rsidR="000A6CE2">
        <w:rPr>
          <w:rStyle w:val="FootnoteReference"/>
        </w:rPr>
        <w:footnoteReference w:id="36"/>
      </w:r>
    </w:p>
    <w:p w14:paraId="0FD93FFE" w14:textId="055D5E4D" w:rsidR="00434C40" w:rsidRDefault="00C15D15" w:rsidP="003E6D1B">
      <w:pPr>
        <w:spacing w:after="160" w:line="360" w:lineRule="auto"/>
        <w:ind w:left="360" w:right="360" w:firstLine="720"/>
        <w:jc w:val="both"/>
      </w:pPr>
      <w:r>
        <w:t xml:space="preserve">By the mid-eighteenth century, a clear humanitarian movement in international law </w:t>
      </w:r>
      <w:r w:rsidR="003F114E">
        <w:t>had begu</w:t>
      </w:r>
      <w:r>
        <w:t xml:space="preserve">n </w:t>
      </w:r>
      <w:r w:rsidR="003F114E">
        <w:t>to take</w:t>
      </w:r>
      <w:r>
        <w:t xml:space="preserve"> shape, resulting in increasingly better treatment </w:t>
      </w:r>
      <w:r w:rsidR="003F114E">
        <w:t>of</w:t>
      </w:r>
      <w:r>
        <w:t xml:space="preserve"> </w:t>
      </w:r>
      <w:r w:rsidR="003F114E">
        <w:t>POWs</w:t>
      </w:r>
      <w:r>
        <w:t>.</w:t>
      </w:r>
      <w:r w:rsidR="003F114E">
        <w:t xml:space="preserve"> </w:t>
      </w:r>
      <w:r>
        <w:t xml:space="preserve">In his </w:t>
      </w:r>
      <w:r w:rsidRPr="00FA0F94">
        <w:rPr>
          <w:i/>
        </w:rPr>
        <w:t>Law of Nations</w:t>
      </w:r>
      <w:r>
        <w:t xml:space="preserve">, first published in 1758 and translated into English two years later, </w:t>
      </w:r>
      <w:r w:rsidRPr="006C5D0B">
        <w:t>Emerich de</w:t>
      </w:r>
      <w:r>
        <w:t xml:space="preserve"> Vattel expounded on these emerging </w:t>
      </w:r>
      <w:r w:rsidR="003F114E">
        <w:t>principles.</w:t>
      </w:r>
      <w:r>
        <w:t xml:space="preserve"> “On an enemy’s submitting and laying down his arms,” </w:t>
      </w:r>
      <w:r w:rsidRPr="009E74C8">
        <w:t>he wrote</w:t>
      </w:r>
      <w:r>
        <w:t xml:space="preserve">, “we cannot with justice take away his life. Thus, in battle, </w:t>
      </w:r>
      <w:r w:rsidRPr="0082025A">
        <w:t>quarter is to be given to t</w:t>
      </w:r>
      <w:r>
        <w:t>hose who lay down their arms.”</w:t>
      </w:r>
      <w:r w:rsidR="00BE44D5">
        <w:rPr>
          <w:rStyle w:val="FootnoteReference"/>
        </w:rPr>
        <w:footnoteReference w:id="37"/>
      </w:r>
      <w:r>
        <w:t xml:space="preserve"> </w:t>
      </w:r>
      <w:r w:rsidR="003E288B">
        <w:t xml:space="preserve">Beyond captured </w:t>
      </w:r>
      <w:r w:rsidR="003F114E">
        <w:t xml:space="preserve">enemy </w:t>
      </w:r>
      <w:r w:rsidR="003E288B">
        <w:t xml:space="preserve">combatants, </w:t>
      </w:r>
      <w:r w:rsidR="003E288B" w:rsidRPr="009E74C8">
        <w:t>other</w:t>
      </w:r>
      <w:r w:rsidR="00D72117" w:rsidRPr="009E74C8">
        <w:t xml:space="preserve"> </w:t>
      </w:r>
      <w:r w:rsidR="003E288B" w:rsidRPr="009E74C8">
        <w:t>groups</w:t>
      </w:r>
      <w:r w:rsidR="00D72117" w:rsidRPr="0082025A">
        <w:t xml:space="preserve"> of people were to be </w:t>
      </w:r>
      <w:r w:rsidR="003E288B">
        <w:t>protected</w:t>
      </w:r>
      <w:r w:rsidR="00D72117" w:rsidRPr="0082025A">
        <w:t xml:space="preserve"> from the </w:t>
      </w:r>
      <w:r w:rsidR="003E288B">
        <w:t>ordeal</w:t>
      </w:r>
      <w:r>
        <w:t>s</w:t>
      </w:r>
      <w:r w:rsidR="003E288B">
        <w:t xml:space="preserve"> of war, including “[w]</w:t>
      </w:r>
      <w:r w:rsidR="00D72117" w:rsidRPr="0082025A">
        <w:t>omen, children, feeble old men, and sick persons</w:t>
      </w:r>
      <w:r w:rsidR="003E288B">
        <w:t>.</w:t>
      </w:r>
      <w:r w:rsidR="00D72117" w:rsidRPr="0082025A">
        <w:t>”</w:t>
      </w:r>
      <w:r w:rsidR="002660EA">
        <w:rPr>
          <w:rStyle w:val="FootnoteReference"/>
        </w:rPr>
        <w:footnoteReference w:id="38"/>
      </w:r>
      <w:r w:rsidR="00D72117" w:rsidRPr="0082025A">
        <w:t xml:space="preserve"> </w:t>
      </w:r>
      <w:r w:rsidR="003E288B">
        <w:t>Clergy</w:t>
      </w:r>
      <w:r w:rsidR="00D72117" w:rsidRPr="0082025A">
        <w:t>, scholars, and “other persons whose mode of life is very remote from military affairs</w:t>
      </w:r>
      <w:r w:rsidR="003E288B">
        <w:t>” were likewise to be spared.</w:t>
      </w:r>
      <w:r w:rsidR="00354E38" w:rsidRPr="0082025A">
        <w:rPr>
          <w:rStyle w:val="FootnoteReference"/>
        </w:rPr>
        <w:footnoteReference w:id="39"/>
      </w:r>
      <w:r w:rsidR="00D72117" w:rsidRPr="0082025A">
        <w:t xml:space="preserve"> </w:t>
      </w:r>
    </w:p>
    <w:p w14:paraId="1865764E" w14:textId="01AC91C4" w:rsidR="00354E38" w:rsidRPr="0082025A" w:rsidRDefault="003F114E" w:rsidP="003E6D1B">
      <w:pPr>
        <w:spacing w:after="160" w:line="360" w:lineRule="auto"/>
        <w:ind w:left="360" w:right="360" w:firstLine="720"/>
        <w:jc w:val="both"/>
      </w:pPr>
      <w:r>
        <w:t xml:space="preserve">Immersed in </w:t>
      </w:r>
      <w:r w:rsidR="00D4085B">
        <w:t>contemporary law of n</w:t>
      </w:r>
      <w:r w:rsidR="00840508">
        <w:t>ations theory</w:t>
      </w:r>
      <w:r>
        <w:t>, American political leaders during the</w:t>
      </w:r>
      <w:r w:rsidR="0019387E" w:rsidRPr="0082025A">
        <w:t xml:space="preserve"> Revolution</w:t>
      </w:r>
      <w:r>
        <w:t>ary War</w:t>
      </w:r>
      <w:r w:rsidR="0019387E" w:rsidRPr="0082025A">
        <w:t xml:space="preserve"> </w:t>
      </w:r>
      <w:r w:rsidR="00840508">
        <w:t xml:space="preserve">applied </w:t>
      </w:r>
      <w:r w:rsidR="00D4085B">
        <w:t xml:space="preserve">these principles of international humanitarian law </w:t>
      </w:r>
      <w:r w:rsidR="00840508">
        <w:t xml:space="preserve">in formulating </w:t>
      </w:r>
      <w:r w:rsidR="0019387E" w:rsidRPr="0082025A">
        <w:t xml:space="preserve">prisoner of war policy. </w:t>
      </w:r>
      <w:r w:rsidR="006609D0">
        <w:t xml:space="preserve">In October of 1775, </w:t>
      </w:r>
      <w:r w:rsidR="00D4085B">
        <w:t>a conference of d</w:t>
      </w:r>
      <w:r>
        <w:t>elegates</w:t>
      </w:r>
      <w:r w:rsidR="0019387E" w:rsidRPr="0082025A">
        <w:t xml:space="preserve"> appointed by the Continental </w:t>
      </w:r>
      <w:r>
        <w:t xml:space="preserve">Congress </w:t>
      </w:r>
      <w:r w:rsidRPr="009E74C8">
        <w:t>agreed</w:t>
      </w:r>
      <w:r>
        <w:t xml:space="preserve"> that </w:t>
      </w:r>
      <w:r w:rsidR="0019387E" w:rsidRPr="0082025A">
        <w:t xml:space="preserve">captured </w:t>
      </w:r>
      <w:r>
        <w:t xml:space="preserve">enemies </w:t>
      </w:r>
      <w:r w:rsidR="0019387E" w:rsidRPr="0082025A">
        <w:t>wer</w:t>
      </w:r>
      <w:r w:rsidR="006609D0">
        <w:t>e to “be treated as Prisoners o</w:t>
      </w:r>
      <w:r w:rsidR="0019387E" w:rsidRPr="0082025A">
        <w:t>f War but with Humanity-And the Allowance of Provisions to be the Rations of the Army. That the Officers being in Pay should supply themselves with Cloaths, their Bills to be taken therefor &amp; the Soldiers furnished as they are now.”</w:t>
      </w:r>
      <w:r w:rsidR="0019387E" w:rsidRPr="0082025A">
        <w:rPr>
          <w:rStyle w:val="FootnoteReference"/>
        </w:rPr>
        <w:footnoteReference w:id="40"/>
      </w:r>
    </w:p>
    <w:p w14:paraId="4DD893F2" w14:textId="28859DAF" w:rsidR="0019387E" w:rsidRPr="0082025A" w:rsidRDefault="0099087E" w:rsidP="003E6D1B">
      <w:pPr>
        <w:spacing w:after="160" w:line="360" w:lineRule="auto"/>
        <w:ind w:left="360" w:right="360" w:firstLine="720"/>
        <w:jc w:val="both"/>
      </w:pPr>
      <w:r>
        <w:t xml:space="preserve">General George </w:t>
      </w:r>
      <w:r w:rsidR="00354E38" w:rsidRPr="0082025A">
        <w:t>Washington</w:t>
      </w:r>
      <w:r>
        <w:t>, likewise advocating</w:t>
      </w:r>
      <w:r w:rsidRPr="0082025A">
        <w:t xml:space="preserve"> respect for the standards of eighteenth-century warfare</w:t>
      </w:r>
      <w:r>
        <w:t xml:space="preserve">, </w:t>
      </w:r>
      <w:r w:rsidR="00354E38" w:rsidRPr="0082025A">
        <w:t xml:space="preserve">ordered the humane treatment of </w:t>
      </w:r>
      <w:r>
        <w:t>POWs</w:t>
      </w:r>
      <w:r w:rsidR="00354E38" w:rsidRPr="0082025A">
        <w:t xml:space="preserve"> held by </w:t>
      </w:r>
      <w:r w:rsidR="00A45AC0">
        <w:t xml:space="preserve">the </w:t>
      </w:r>
      <w:r w:rsidR="00354E38" w:rsidRPr="0082025A">
        <w:t>Continental Army.</w:t>
      </w:r>
      <w:r w:rsidR="004D1CF5">
        <w:t xml:space="preserve"> </w:t>
      </w:r>
      <w:r w:rsidR="00310929">
        <w:t>R</w:t>
      </w:r>
      <w:r w:rsidR="004D1CF5">
        <w:t xml:space="preserve">eluctant to retaliate against </w:t>
      </w:r>
      <w:r w:rsidR="004D1CF5" w:rsidRPr="0082025A">
        <w:t>British</w:t>
      </w:r>
      <w:r w:rsidR="004D1CF5">
        <w:t xml:space="preserve"> prisoners</w:t>
      </w:r>
      <w:r w:rsidR="004D1CF5" w:rsidRPr="0082025A">
        <w:t xml:space="preserve"> </w:t>
      </w:r>
      <w:r w:rsidR="004D1CF5">
        <w:t>for atrocities committed against American troops,</w:t>
      </w:r>
      <w:r w:rsidR="00310929">
        <w:t xml:space="preserve"> Washington </w:t>
      </w:r>
      <w:r w:rsidR="00310929" w:rsidRPr="009E74C8">
        <w:t>wrote in 1782</w:t>
      </w:r>
      <w:r w:rsidR="00796085" w:rsidRPr="00A45AC0">
        <w:rPr>
          <w:rStyle w:val="Hyperlink"/>
          <w:color w:val="auto"/>
          <w:u w:val="none"/>
        </w:rPr>
        <w:t>:</w:t>
      </w:r>
      <w:r w:rsidR="00796085">
        <w:t xml:space="preserve"> “I shall hold myself</w:t>
      </w:r>
      <w:r w:rsidR="00796085" w:rsidRPr="0082025A">
        <w:t xml:space="preserve"> </w:t>
      </w:r>
      <w:r w:rsidR="00354E38" w:rsidRPr="0082025A">
        <w:t xml:space="preserve">obliged to deliver up to the enemy or otherwise punish such of them as shall commit any act which is in the least contrary </w:t>
      </w:r>
      <w:r w:rsidR="004D1CF5">
        <w:t>to the Laws of War.</w:t>
      </w:r>
      <w:r w:rsidR="00354E38" w:rsidRPr="0082025A">
        <w:t>”</w:t>
      </w:r>
      <w:r w:rsidR="00354E38" w:rsidRPr="0082025A">
        <w:rPr>
          <w:rStyle w:val="FootnoteReference"/>
        </w:rPr>
        <w:footnoteReference w:id="41"/>
      </w:r>
      <w:r w:rsidR="004D1CF5">
        <w:t xml:space="preserve"> That same year, when </w:t>
      </w:r>
      <w:r w:rsidR="004D1CF5" w:rsidRPr="004D1CF5">
        <w:t xml:space="preserve">Great Britain failed to </w:t>
      </w:r>
      <w:r w:rsidR="004D1CF5">
        <w:t xml:space="preserve">supply provisions for its captured soldiers, </w:t>
      </w:r>
      <w:r w:rsidR="004D1CF5" w:rsidRPr="004D1CF5">
        <w:t>Congr</w:t>
      </w:r>
      <w:r w:rsidR="004D1CF5">
        <w:t xml:space="preserve">ess </w:t>
      </w:r>
      <w:r w:rsidR="004D1CF5" w:rsidRPr="009E74C8">
        <w:t>ordered</w:t>
      </w:r>
      <w:r w:rsidR="004D1CF5">
        <w:t xml:space="preserve"> the Quartermaster </w:t>
      </w:r>
      <w:r w:rsidR="004D1CF5" w:rsidRPr="004D1CF5">
        <w:t xml:space="preserve">General to issue the prisoners </w:t>
      </w:r>
      <w:r w:rsidR="004D1CF5">
        <w:t>“[f]ull rations” of “</w:t>
      </w:r>
      <w:r w:rsidR="004D1CF5" w:rsidRPr="004D1CF5">
        <w:t>Bread, Beef or Pork, soap, salt and vinegar</w:t>
      </w:r>
      <w:r w:rsidR="004D1CF5">
        <w:t>.”</w:t>
      </w:r>
      <w:r w:rsidR="00BE44D5">
        <w:rPr>
          <w:rStyle w:val="FootnoteReference"/>
        </w:rPr>
        <w:footnoteReference w:id="42"/>
      </w:r>
    </w:p>
    <w:p w14:paraId="1362E880" w14:textId="3DF1A8DD" w:rsidR="0019387E" w:rsidRPr="0082025A" w:rsidRDefault="00342C5E" w:rsidP="003E6D1B">
      <w:pPr>
        <w:spacing w:after="160" w:line="360" w:lineRule="auto"/>
        <w:ind w:left="360" w:right="360" w:firstLine="720"/>
        <w:jc w:val="both"/>
      </w:pPr>
      <w:r>
        <w:t>T</w:t>
      </w:r>
      <w:r w:rsidR="0019387E" w:rsidRPr="0082025A">
        <w:t>he American Revolution</w:t>
      </w:r>
      <w:r>
        <w:t xml:space="preserve"> impressed upon </w:t>
      </w:r>
      <w:r w:rsidR="00594759">
        <w:t xml:space="preserve">U.S. </w:t>
      </w:r>
      <w:r w:rsidR="0008107F">
        <w:t>political leaders</w:t>
      </w:r>
      <w:r w:rsidR="0019387E" w:rsidRPr="0082025A">
        <w:t xml:space="preserve"> </w:t>
      </w:r>
      <w:r w:rsidR="0008107F">
        <w:t xml:space="preserve">the importance of reciprocity </w:t>
      </w:r>
      <w:r>
        <w:t>in the treatment of</w:t>
      </w:r>
      <w:r w:rsidR="0019387E" w:rsidRPr="0082025A">
        <w:t xml:space="preserve"> </w:t>
      </w:r>
      <w:r w:rsidR="0008107F">
        <w:t>POW</w:t>
      </w:r>
      <w:r>
        <w:t>s</w:t>
      </w:r>
      <w:r w:rsidR="0008107F">
        <w:t xml:space="preserve"> during times of </w:t>
      </w:r>
      <w:r w:rsidR="00A45AC0">
        <w:t xml:space="preserve">armed </w:t>
      </w:r>
      <w:r w:rsidR="0008107F">
        <w:t>conflict</w:t>
      </w:r>
      <w:r w:rsidR="0019387E" w:rsidRPr="0082025A">
        <w:t xml:space="preserve">. The </w:t>
      </w:r>
      <w:r w:rsidR="0019387E" w:rsidRPr="009E74C8">
        <w:t>Treaty of Amity and Commerce</w:t>
      </w:r>
      <w:r w:rsidR="0019387E" w:rsidRPr="0082025A">
        <w:t xml:space="preserve">, </w:t>
      </w:r>
      <w:r w:rsidR="006609D0">
        <w:t xml:space="preserve">a </w:t>
      </w:r>
      <w:r w:rsidR="00A45AC0">
        <w:t>post-war</w:t>
      </w:r>
      <w:r w:rsidR="006609D0" w:rsidRPr="0082025A">
        <w:t xml:space="preserve"> </w:t>
      </w:r>
      <w:r w:rsidR="006609D0">
        <w:t>agreement signed with Prussia in 1785, contained</w:t>
      </w:r>
      <w:r w:rsidR="0019387E" w:rsidRPr="0082025A">
        <w:t xml:space="preserve"> </w:t>
      </w:r>
      <w:r w:rsidR="0008107F">
        <w:t xml:space="preserve">important </w:t>
      </w:r>
      <w:r w:rsidR="0008107F" w:rsidRPr="0082025A">
        <w:t>humanitarian</w:t>
      </w:r>
      <w:r w:rsidR="0019387E" w:rsidRPr="0082025A">
        <w:t xml:space="preserve"> </w:t>
      </w:r>
      <w:r w:rsidR="006609D0">
        <w:t xml:space="preserve">provisions for </w:t>
      </w:r>
      <w:r w:rsidR="0008107F">
        <w:t>captured enemy combatants</w:t>
      </w:r>
      <w:r w:rsidR="0019387E" w:rsidRPr="0082025A">
        <w:t xml:space="preserve">. </w:t>
      </w:r>
      <w:r w:rsidR="00594759">
        <w:t xml:space="preserve">Under Article 24, which </w:t>
      </w:r>
      <w:r w:rsidR="006609D0">
        <w:t>sought to “</w:t>
      </w:r>
      <w:r w:rsidR="006609D0" w:rsidRPr="006609D0">
        <w:t>prevent the destruction of prisoners of war</w:t>
      </w:r>
      <w:r w:rsidR="00594759">
        <w:t>,</w:t>
      </w:r>
      <w:r w:rsidR="006609D0">
        <w:t>”</w:t>
      </w:r>
      <w:r w:rsidR="0019387E" w:rsidRPr="0082025A">
        <w:t xml:space="preserve"> </w:t>
      </w:r>
      <w:r w:rsidR="00594759">
        <w:t>the contracting parties agreed “</w:t>
      </w:r>
      <w:r w:rsidR="00594759" w:rsidRPr="00594759">
        <w:t>that they shall not be confined in dungeons, prison-ships, nor prisons, nor be put into irons, nor bound, nor otherwise restrained in the use of their limbs</w:t>
      </w:r>
      <w:r w:rsidR="00594759">
        <w:t>.</w:t>
      </w:r>
      <w:r w:rsidR="0019387E" w:rsidRPr="0082025A">
        <w:t>”</w:t>
      </w:r>
      <w:r w:rsidR="00BE44D5">
        <w:rPr>
          <w:rStyle w:val="FootnoteReference"/>
        </w:rPr>
        <w:footnoteReference w:id="43"/>
      </w:r>
      <w:r w:rsidR="0019387E" w:rsidRPr="0082025A">
        <w:t xml:space="preserve"> </w:t>
      </w:r>
      <w:r w:rsidR="00594759">
        <w:t>Rather, prisoners were to be “</w:t>
      </w:r>
      <w:r w:rsidR="00594759" w:rsidRPr="00594759">
        <w:t xml:space="preserve">lodged in barracks as roomy &amp; good as are provided by the party in whose power they </w:t>
      </w:r>
      <w:r w:rsidR="00594759">
        <w:t>are for their own troops” and</w:t>
      </w:r>
      <w:r w:rsidR="00594759" w:rsidRPr="00594759">
        <w:t xml:space="preserve"> </w:t>
      </w:r>
      <w:r w:rsidR="00594759">
        <w:t>“</w:t>
      </w:r>
      <w:r w:rsidR="00594759" w:rsidRPr="00594759">
        <w:t xml:space="preserve">daily furnished </w:t>
      </w:r>
      <w:r w:rsidR="00594759">
        <w:t>. . .</w:t>
      </w:r>
      <w:r w:rsidR="00594759" w:rsidRPr="00594759">
        <w:t xml:space="preserve"> with as many rations; &amp; of the same articles &amp; quality as are allowed by them</w:t>
      </w:r>
      <w:r w:rsidR="00594759">
        <w:t>.”</w:t>
      </w:r>
      <w:r w:rsidR="00BE44D5">
        <w:rPr>
          <w:rStyle w:val="FootnoteReference"/>
        </w:rPr>
        <w:footnoteReference w:id="44"/>
      </w:r>
    </w:p>
    <w:p w14:paraId="77BDFA46" w14:textId="2E79BE68" w:rsidR="0019387E" w:rsidRPr="0082025A" w:rsidRDefault="0019387E" w:rsidP="00A45AC0">
      <w:pPr>
        <w:spacing w:after="160" w:line="360" w:lineRule="auto"/>
        <w:ind w:left="360" w:right="360" w:firstLine="720"/>
        <w:jc w:val="both"/>
      </w:pPr>
      <w:r w:rsidRPr="0082025A">
        <w:t xml:space="preserve">The War of 1812 provided another important step in the emergence of </w:t>
      </w:r>
      <w:r w:rsidR="00342C5E">
        <w:t>prisoner of war</w:t>
      </w:r>
      <w:r w:rsidR="0088668A">
        <w:t xml:space="preserve"> p</w:t>
      </w:r>
      <w:r w:rsidR="00342C5E">
        <w:t>olicy in the United States</w:t>
      </w:r>
      <w:r w:rsidRPr="0082025A">
        <w:t xml:space="preserve">. </w:t>
      </w:r>
      <w:r w:rsidR="0008107F" w:rsidRPr="0082025A">
        <w:t xml:space="preserve">At </w:t>
      </w:r>
      <w:r w:rsidR="0008107F">
        <w:t xml:space="preserve">the outset of hostilities with the British, </w:t>
      </w:r>
      <w:r w:rsidR="0008107F" w:rsidRPr="0082025A">
        <w:t>Congress enacted</w:t>
      </w:r>
      <w:r w:rsidR="00CC7ED3">
        <w:t xml:space="preserve"> legislation </w:t>
      </w:r>
      <w:r w:rsidR="0008107F" w:rsidRPr="0082025A">
        <w:t xml:space="preserve">authorizing the president </w:t>
      </w:r>
      <w:r w:rsidR="00CC7ED3">
        <w:t>“</w:t>
      </w:r>
      <w:r w:rsidR="00CC7ED3" w:rsidRPr="00CC7ED3">
        <w:t>to make such regulations and arrangements for the safe keeping, support and exchange of prisoners of war as he may deem expedient</w:t>
      </w:r>
      <w:r w:rsidR="00CC7ED3">
        <w:t>.”</w:t>
      </w:r>
      <w:r w:rsidR="0008107F" w:rsidRPr="0082025A">
        <w:rPr>
          <w:rStyle w:val="FootnoteReference"/>
        </w:rPr>
        <w:footnoteReference w:id="45"/>
      </w:r>
      <w:r w:rsidR="00A45AC0">
        <w:t xml:space="preserve"> </w:t>
      </w:r>
      <w:r w:rsidR="00544B5B">
        <w:t xml:space="preserve">A </w:t>
      </w:r>
      <w:r w:rsidR="00544B5B" w:rsidRPr="009E74C8">
        <w:t>provisional agreement</w:t>
      </w:r>
      <w:r w:rsidR="00544B5B">
        <w:t xml:space="preserve"> with the British</w:t>
      </w:r>
      <w:r w:rsidRPr="0082025A">
        <w:t>, signed at Halifax in</w:t>
      </w:r>
      <w:r w:rsidR="00544B5B">
        <w:t xml:space="preserve"> November of</w:t>
      </w:r>
      <w:r w:rsidRPr="0082025A">
        <w:t xml:space="preserve"> 1812, </w:t>
      </w:r>
      <w:r w:rsidR="00544B5B">
        <w:t>stipulated that “</w:t>
      </w:r>
      <w:r w:rsidR="00544B5B" w:rsidRPr="00544B5B">
        <w:t>Prisoners taken at Sea on both sides shall be treated by the Government of each Nation with humanity, conformable to the</w:t>
      </w:r>
      <w:r w:rsidR="00544B5B">
        <w:t xml:space="preserve"> usage and practice of the most </w:t>
      </w:r>
      <w:r w:rsidR="00544B5B" w:rsidRPr="00544B5B">
        <w:t>Civilized Nations during War</w:t>
      </w:r>
      <w:r w:rsidR="00544B5B">
        <w:t>.”</w:t>
      </w:r>
      <w:r w:rsidR="00BE44D5">
        <w:rPr>
          <w:rStyle w:val="FootnoteReference"/>
        </w:rPr>
        <w:footnoteReference w:id="46"/>
      </w:r>
      <w:r w:rsidR="00544B5B">
        <w:t xml:space="preserve"> A subsequent </w:t>
      </w:r>
      <w:r w:rsidR="00544B5B" w:rsidRPr="009E74C8">
        <w:t>agreement</w:t>
      </w:r>
      <w:r w:rsidR="00544B5B">
        <w:t xml:space="preserve"> entered into the following year </w:t>
      </w:r>
      <w:r w:rsidRPr="0082025A">
        <w:t xml:space="preserve">established </w:t>
      </w:r>
      <w:r w:rsidR="00544B5B">
        <w:t xml:space="preserve">further </w:t>
      </w:r>
      <w:r w:rsidRPr="0082025A">
        <w:t xml:space="preserve">guidelines </w:t>
      </w:r>
      <w:r w:rsidR="00544B5B">
        <w:t>of</w:t>
      </w:r>
      <w:r w:rsidRPr="0082025A">
        <w:t xml:space="preserve"> basic p</w:t>
      </w:r>
      <w:r w:rsidR="00544B5B">
        <w:t>rovisioning for prisoners and methods for their</w:t>
      </w:r>
      <w:r w:rsidRPr="0082025A">
        <w:t xml:space="preserve"> exchange.</w:t>
      </w:r>
      <w:r w:rsidRPr="0082025A">
        <w:rPr>
          <w:rStyle w:val="FootnoteReference"/>
        </w:rPr>
        <w:footnoteReference w:id="47"/>
      </w:r>
    </w:p>
    <w:p w14:paraId="385BE99A" w14:textId="1C3A9F6C" w:rsidR="0019387E" w:rsidRPr="0082025A" w:rsidRDefault="00EE745F" w:rsidP="003E6D1B">
      <w:pPr>
        <w:spacing w:after="160" w:line="360" w:lineRule="auto"/>
        <w:ind w:left="360" w:right="360" w:firstLine="720"/>
        <w:jc w:val="both"/>
      </w:pPr>
      <w:r w:rsidRPr="00AE2C5B">
        <w:t>The</w:t>
      </w:r>
      <w:r w:rsidR="0019387E" w:rsidRPr="00AE2C5B">
        <w:t xml:space="preserve"> American Civil War</w:t>
      </w:r>
      <w:r>
        <w:t xml:space="preserve"> </w:t>
      </w:r>
      <w:r w:rsidR="00AE2C5B">
        <w:t>presented the Union with a</w:t>
      </w:r>
      <w:r w:rsidR="0019387E" w:rsidRPr="0082025A">
        <w:t xml:space="preserve"> </w:t>
      </w:r>
      <w:r w:rsidR="00D20CD5">
        <w:t>dilemma</w:t>
      </w:r>
      <w:r w:rsidR="0019387E" w:rsidRPr="0082025A">
        <w:t xml:space="preserve"> </w:t>
      </w:r>
      <w:r w:rsidR="00D20CD5">
        <w:t xml:space="preserve">over </w:t>
      </w:r>
      <w:r w:rsidR="00C70993">
        <w:t>prisoner</w:t>
      </w:r>
      <w:r w:rsidR="00437B54" w:rsidRPr="0082025A">
        <w:t xml:space="preserve"> o</w:t>
      </w:r>
      <w:r w:rsidR="0019387E" w:rsidRPr="0082025A">
        <w:t>f war</w:t>
      </w:r>
      <w:r w:rsidR="00A45AC0">
        <w:t xml:space="preserve"> policy:</w:t>
      </w:r>
      <w:r w:rsidR="00C70993">
        <w:t xml:space="preserve"> b</w:t>
      </w:r>
      <w:r w:rsidR="00DA3288">
        <w:t xml:space="preserve">y treating captured </w:t>
      </w:r>
      <w:r w:rsidR="0019387E" w:rsidRPr="0082025A">
        <w:t xml:space="preserve">Confederate </w:t>
      </w:r>
      <w:r w:rsidR="00DA3288">
        <w:t xml:space="preserve">soldiers </w:t>
      </w:r>
      <w:r w:rsidR="0019387E" w:rsidRPr="0082025A">
        <w:t>as traitors</w:t>
      </w:r>
      <w:r w:rsidR="00DA3288">
        <w:t xml:space="preserve">, </w:t>
      </w:r>
      <w:r w:rsidR="00C70993">
        <w:t>it</w:t>
      </w:r>
      <w:r w:rsidR="0019387E" w:rsidRPr="0082025A">
        <w:t xml:space="preserve"> </w:t>
      </w:r>
      <w:r w:rsidR="00DA3288">
        <w:t>could</w:t>
      </w:r>
      <w:r w:rsidR="0019387E" w:rsidRPr="0082025A">
        <w:t xml:space="preserve"> deny them the </w:t>
      </w:r>
      <w:r w:rsidR="00DA3288">
        <w:t>status and righ</w:t>
      </w:r>
      <w:r w:rsidR="00C70993">
        <w:t>ts afforded POWs. S</w:t>
      </w:r>
      <w:r w:rsidR="00DA3288">
        <w:t>uch position, however, risked</w:t>
      </w:r>
      <w:r w:rsidR="0019387E" w:rsidRPr="0082025A">
        <w:t xml:space="preserve"> the </w:t>
      </w:r>
      <w:r w:rsidR="00DA3288">
        <w:t>likelihood</w:t>
      </w:r>
      <w:r w:rsidR="0019387E" w:rsidRPr="0082025A">
        <w:t xml:space="preserve"> of Confederate r</w:t>
      </w:r>
      <w:r w:rsidR="00AE2C5B">
        <w:t>etaliation</w:t>
      </w:r>
      <w:r w:rsidR="0019387E" w:rsidRPr="0082025A">
        <w:t xml:space="preserve">. </w:t>
      </w:r>
      <w:r w:rsidR="00D20CD5">
        <w:t>On the other hand,</w:t>
      </w:r>
      <w:r w:rsidR="0019387E" w:rsidRPr="0082025A">
        <w:t xml:space="preserve"> </w:t>
      </w:r>
      <w:r w:rsidR="00D20CD5">
        <w:t xml:space="preserve">any </w:t>
      </w:r>
      <w:r w:rsidR="0019387E" w:rsidRPr="0082025A">
        <w:t>formal agreement</w:t>
      </w:r>
      <w:r w:rsidR="00D20CD5">
        <w:t xml:space="preserve"> entered into by the Union conceded sovereign status to the </w:t>
      </w:r>
      <w:r w:rsidR="00D20CD5" w:rsidRPr="0082025A">
        <w:t>Confederacy</w:t>
      </w:r>
      <w:r w:rsidR="00BE44D5">
        <w:t>.</w:t>
      </w:r>
      <w:r w:rsidR="0034338B">
        <w:rPr>
          <w:rStyle w:val="FootnoteReference"/>
        </w:rPr>
        <w:footnoteReference w:id="48"/>
      </w:r>
    </w:p>
    <w:p w14:paraId="7FCDF7B3" w14:textId="395AC9CE" w:rsidR="00F25DBA" w:rsidRDefault="00886557" w:rsidP="003E6D1B">
      <w:pPr>
        <w:spacing w:after="160" w:line="360" w:lineRule="auto"/>
        <w:ind w:left="360" w:right="360" w:firstLine="720"/>
        <w:jc w:val="both"/>
      </w:pPr>
      <w:r w:rsidRPr="00504D4F">
        <w:t xml:space="preserve">Union reluctance to </w:t>
      </w:r>
      <w:r w:rsidR="00E425DB" w:rsidRPr="00504D4F">
        <w:t>negotiate quickly dissipated, however,</w:t>
      </w:r>
      <w:r w:rsidRPr="00504D4F">
        <w:t xml:space="preserve"> </w:t>
      </w:r>
      <w:r w:rsidR="00E425DB" w:rsidRPr="00504D4F">
        <w:t xml:space="preserve">as early </w:t>
      </w:r>
      <w:r w:rsidR="006F3390" w:rsidRPr="00504D4F">
        <w:t>Confederate victories</w:t>
      </w:r>
      <w:r w:rsidR="00E425DB" w:rsidRPr="00504D4F">
        <w:t xml:space="preserve"> resulted</w:t>
      </w:r>
      <w:r w:rsidRPr="00504D4F">
        <w:t xml:space="preserve"> in disproportionately large number</w:t>
      </w:r>
      <w:r w:rsidR="00A54870" w:rsidRPr="00504D4F">
        <w:t>s</w:t>
      </w:r>
      <w:r w:rsidRPr="00504D4F">
        <w:t xml:space="preserve"> of Union POWs</w:t>
      </w:r>
      <w:r w:rsidR="00E425DB" w:rsidRPr="00504D4F">
        <w:t xml:space="preserve">. In July of 1862, following several failed attempts </w:t>
      </w:r>
      <w:r w:rsidR="00C66A70" w:rsidRPr="00504D4F">
        <w:t xml:space="preserve">by both sides </w:t>
      </w:r>
      <w:r w:rsidR="00E425DB" w:rsidRPr="00504D4F">
        <w:t xml:space="preserve">at </w:t>
      </w:r>
      <w:r w:rsidR="00C66A70" w:rsidRPr="00504D4F">
        <w:t>dictating unilateral terms</w:t>
      </w:r>
      <w:r w:rsidR="0034338B">
        <w:t xml:space="preserve"> of POW policy</w:t>
      </w:r>
      <w:r w:rsidR="00C66A70" w:rsidRPr="00504D4F">
        <w:t>,</w:t>
      </w:r>
      <w:r w:rsidRPr="00504D4F">
        <w:t xml:space="preserve"> </w:t>
      </w:r>
      <w:r w:rsidR="00C66A70" w:rsidRPr="00504D4F">
        <w:t xml:space="preserve">negotiations concluded with the signing of the </w:t>
      </w:r>
      <w:r w:rsidR="00C66A70" w:rsidRPr="009E74C8">
        <w:t>Dix-Hill Cartel</w:t>
      </w:r>
      <w:r w:rsidR="00C66A70" w:rsidRPr="00504D4F">
        <w:t xml:space="preserve">, an agreement for the parole and exchange </w:t>
      </w:r>
      <w:r w:rsidR="0034338B">
        <w:t xml:space="preserve">of all prisoners based on </w:t>
      </w:r>
      <w:r w:rsidR="00C66A70" w:rsidRPr="00504D4F">
        <w:t>military rank.</w:t>
      </w:r>
      <w:r w:rsidR="00D44E03" w:rsidRPr="00504D4F">
        <w:rPr>
          <w:rStyle w:val="FootnoteReference"/>
        </w:rPr>
        <w:footnoteReference w:id="49"/>
      </w:r>
      <w:r w:rsidR="00C66A70" w:rsidRPr="00504D4F">
        <w:t xml:space="preserve"> </w:t>
      </w:r>
      <w:r w:rsidR="00AB7EF7" w:rsidRPr="00504D4F">
        <w:t>The accord ultimately collapsed</w:t>
      </w:r>
      <w:r w:rsidR="00A54870" w:rsidRPr="00504D4F">
        <w:t>, however,</w:t>
      </w:r>
      <w:r w:rsidR="00AB7EF7" w:rsidRPr="00504D4F">
        <w:t xml:space="preserve"> when the Confederacy refused to</w:t>
      </w:r>
      <w:r w:rsidR="00233C8A" w:rsidRPr="00504D4F">
        <w:t xml:space="preserve"> confer POW status on</w:t>
      </w:r>
      <w:r w:rsidR="00AB7EF7" w:rsidRPr="00504D4F">
        <w:t xml:space="preserve"> </w:t>
      </w:r>
      <w:r w:rsidR="00233C8A" w:rsidRPr="00504D4F">
        <w:t>captured black soldiers and their white officers.</w:t>
      </w:r>
      <w:r w:rsidR="00B50FFC" w:rsidRPr="00504D4F">
        <w:rPr>
          <w:rStyle w:val="FootnoteReference"/>
        </w:rPr>
        <w:footnoteReference w:id="50"/>
      </w:r>
      <w:r w:rsidR="00233C8A" w:rsidRPr="00504D4F">
        <w:t xml:space="preserve"> </w:t>
      </w:r>
      <w:r w:rsidR="00C2380E" w:rsidRPr="00504D4F">
        <w:t xml:space="preserve">In response, </w:t>
      </w:r>
      <w:r w:rsidR="00F25DBA" w:rsidRPr="00504D4F">
        <w:t>President Lincoln</w:t>
      </w:r>
      <w:r w:rsidR="00C2380E" w:rsidRPr="00504D4F">
        <w:t xml:space="preserve">, on April 24, 1863, </w:t>
      </w:r>
      <w:r w:rsidR="00F25DBA" w:rsidRPr="00504D4F">
        <w:t>promulgated General Order</w:t>
      </w:r>
      <w:r w:rsidR="0018645E" w:rsidRPr="00504D4F">
        <w:t>s No. 100, entitled “Instructions for the Government of the Armies of the United States in the Field.”</w:t>
      </w:r>
      <w:r w:rsidR="00BE44D5" w:rsidRPr="00504D4F">
        <w:rPr>
          <w:rStyle w:val="FootnoteReference"/>
        </w:rPr>
        <w:footnoteReference w:id="51"/>
      </w:r>
      <w:r w:rsidR="0018645E" w:rsidRPr="00504D4F">
        <w:t xml:space="preserve"> Prepared by German-born legal scholar Francis Lieber, the Instructions, known as the “</w:t>
      </w:r>
      <w:r w:rsidR="0018645E" w:rsidRPr="009E74C8">
        <w:t>Lieber Code</w:t>
      </w:r>
      <w:r w:rsidR="0018645E" w:rsidRPr="0034338B">
        <w:rPr>
          <w:rStyle w:val="Hyperlink"/>
          <w:color w:val="auto"/>
          <w:u w:val="none"/>
        </w:rPr>
        <w:t>,</w:t>
      </w:r>
      <w:r w:rsidR="0018645E" w:rsidRPr="00504D4F">
        <w:t xml:space="preserve">” contained several provisions on the humane treatment of POWs. </w:t>
      </w:r>
      <w:r w:rsidR="0031647F" w:rsidRPr="00504D4F">
        <w:t>Article 56</w:t>
      </w:r>
      <w:r w:rsidR="00C70993" w:rsidRPr="00504D4F">
        <w:t>, for example,</w:t>
      </w:r>
      <w:r w:rsidR="0031647F" w:rsidRPr="00504D4F">
        <w:t xml:space="preserve"> stipulated that a “prisoner of war is subject to no punishment for being a public enemy, nor is any revenge wreaked upon him by the intentional infliction of any suffering, or disgrace, by cruel imprisonment, want of food, by mutilation, death, or any other barbarity.”</w:t>
      </w:r>
      <w:r w:rsidR="00BE44D5" w:rsidRPr="00504D4F">
        <w:rPr>
          <w:rStyle w:val="FootnoteReference"/>
        </w:rPr>
        <w:footnoteReference w:id="52"/>
      </w:r>
      <w:r w:rsidR="00591C44" w:rsidRPr="00504D4F">
        <w:t xml:space="preserve"> Article 43, an outgrowth of the Emancipation Proclamation, </w:t>
      </w:r>
      <w:r w:rsidR="00A161A3" w:rsidRPr="00504D4F">
        <w:t>provided that “in a war between the United States and a belligerent which admits of slavery,</w:t>
      </w:r>
      <w:r w:rsidR="00591C44" w:rsidRPr="00504D4F">
        <w:t>”</w:t>
      </w:r>
      <w:r w:rsidR="00A161A3" w:rsidRPr="00504D4F">
        <w:t xml:space="preserve"> </w:t>
      </w:r>
      <w:r w:rsidR="00591C44" w:rsidRPr="00504D4F">
        <w:t>persons</w:t>
      </w:r>
      <w:r w:rsidR="00A161A3" w:rsidRPr="00504D4F">
        <w:t xml:space="preserve"> </w:t>
      </w:r>
      <w:r w:rsidR="00591C44" w:rsidRPr="00504D4F">
        <w:t>“</w:t>
      </w:r>
      <w:r w:rsidR="00A161A3" w:rsidRPr="00504D4F">
        <w:t>held in bondage by that belligerent</w:t>
      </w:r>
      <w:r w:rsidR="00591C44" w:rsidRPr="00504D4F">
        <w:t>”</w:t>
      </w:r>
      <w:r w:rsidR="00A161A3" w:rsidRPr="00504D4F">
        <w:t xml:space="preserve"> </w:t>
      </w:r>
      <w:r w:rsidR="00591C44" w:rsidRPr="00504D4F">
        <w:t>would be</w:t>
      </w:r>
      <w:r w:rsidR="00A161A3" w:rsidRPr="00504D4F">
        <w:t xml:space="preserve"> </w:t>
      </w:r>
      <w:r w:rsidR="00591C44" w:rsidRPr="00504D4F">
        <w:t>“</w:t>
      </w:r>
      <w:r w:rsidR="00A161A3" w:rsidRPr="00504D4F">
        <w:t>immediately entitled to the rights and privileges of a freeman”</w:t>
      </w:r>
      <w:r w:rsidR="00591C44" w:rsidRPr="00504D4F">
        <w:t xml:space="preserve"> upon their capture by Union forces or escape from the Confederacy.</w:t>
      </w:r>
      <w:r w:rsidR="00591C44" w:rsidRPr="00504D4F">
        <w:rPr>
          <w:rStyle w:val="FootnoteReference"/>
        </w:rPr>
        <w:footnoteReference w:id="53"/>
      </w:r>
      <w:r w:rsidR="000B4D1D" w:rsidRPr="00504D4F">
        <w:t xml:space="preserve"> In reaffirming this policy, President Lincoln wrote that “[t]he law of nations and the usages and customs of war as carried on by civilized powers, permit no distinction as to color in the treatment of prisoners of war as public enemies.”</w:t>
      </w:r>
      <w:r w:rsidR="000B4D1D" w:rsidRPr="00504D4F">
        <w:rPr>
          <w:rStyle w:val="FootnoteReference"/>
        </w:rPr>
        <w:footnoteReference w:id="54"/>
      </w:r>
    </w:p>
    <w:p w14:paraId="56FC2510" w14:textId="5B7528A4" w:rsidR="00433AA9" w:rsidRPr="0082025A" w:rsidRDefault="005C0143" w:rsidP="003E6D1B">
      <w:pPr>
        <w:spacing w:after="160" w:line="360" w:lineRule="auto"/>
        <w:ind w:left="360" w:right="360" w:firstLine="720"/>
        <w:jc w:val="both"/>
      </w:pPr>
      <w:r>
        <w:t>Yet t</w:t>
      </w:r>
      <w:r w:rsidR="00412770">
        <w:t>he large number of</w:t>
      </w:r>
      <w:r w:rsidR="00F66733" w:rsidRPr="0082025A">
        <w:t xml:space="preserve"> prisoners </w:t>
      </w:r>
      <w:r w:rsidR="00412770">
        <w:t>captured on both sides</w:t>
      </w:r>
      <w:r w:rsidR="00D72AAA">
        <w:t xml:space="preserve">—resulting in </w:t>
      </w:r>
      <w:r w:rsidR="00D72AAA" w:rsidRPr="0082025A">
        <w:t>h</w:t>
      </w:r>
      <w:r w:rsidR="00D72AAA">
        <w:t>astily organized and</w:t>
      </w:r>
      <w:r w:rsidR="00D72AAA" w:rsidRPr="0082025A">
        <w:t xml:space="preserve"> poorly supplied</w:t>
      </w:r>
      <w:r w:rsidR="00D72AAA">
        <w:t xml:space="preserve"> detention camps</w:t>
      </w:r>
      <w:r w:rsidR="00D72AAA" w:rsidRPr="00504D4F">
        <w:t>—o</w:t>
      </w:r>
      <w:r w:rsidR="00412770" w:rsidRPr="00504D4F">
        <w:t>ften led to inadequate</w:t>
      </w:r>
      <w:r w:rsidR="00412770">
        <w:t xml:space="preserve"> provisions.</w:t>
      </w:r>
      <w:r w:rsidR="00F66733" w:rsidRPr="0082025A">
        <w:rPr>
          <w:rStyle w:val="FootnoteReference"/>
        </w:rPr>
        <w:footnoteReference w:id="55"/>
      </w:r>
      <w:r w:rsidR="00F66733" w:rsidRPr="0082025A">
        <w:t xml:space="preserve"> </w:t>
      </w:r>
      <w:r w:rsidR="00F25DBA">
        <w:t>By April of</w:t>
      </w:r>
      <w:r w:rsidR="00C973B4" w:rsidRPr="0082025A">
        <w:t xml:space="preserve"> 1862</w:t>
      </w:r>
      <w:r w:rsidR="00C973B4">
        <w:t xml:space="preserve">, </w:t>
      </w:r>
      <w:r w:rsidR="00C973B4" w:rsidRPr="009E74C8">
        <w:t>Camp Morton</w:t>
      </w:r>
      <w:r w:rsidR="00C973B4" w:rsidRPr="0034338B">
        <w:rPr>
          <w:rStyle w:val="Hyperlink"/>
          <w:u w:val="none"/>
        </w:rPr>
        <w:t xml:space="preserve"> </w:t>
      </w:r>
      <w:r w:rsidR="00C973B4">
        <w:t xml:space="preserve">in Indianapolis had reached nearly </w:t>
      </w:r>
      <w:r w:rsidR="00C973B4" w:rsidRPr="0082025A">
        <w:t xml:space="preserve">five thousand </w:t>
      </w:r>
      <w:r w:rsidR="00C70993">
        <w:t>Confederate prisoners</w:t>
      </w:r>
      <w:r w:rsidR="00F25DBA">
        <w:t>.</w:t>
      </w:r>
      <w:r w:rsidR="00BE44D5">
        <w:rPr>
          <w:rStyle w:val="FootnoteReference"/>
        </w:rPr>
        <w:footnoteReference w:id="56"/>
      </w:r>
      <w:r w:rsidR="00F25DBA">
        <w:t xml:space="preserve"> O</w:t>
      </w:r>
      <w:r w:rsidR="00C973B4">
        <w:t xml:space="preserve">ver a thousand more arrived that summer following the Battle of Shiloh. </w:t>
      </w:r>
      <w:r w:rsidR="00F25DBA">
        <w:t xml:space="preserve">In the </w:t>
      </w:r>
      <w:r w:rsidR="0031647F">
        <w:t xml:space="preserve">two </w:t>
      </w:r>
      <w:r w:rsidR="00C70993">
        <w:t>years that</w:t>
      </w:r>
      <w:r w:rsidR="00F25DBA">
        <w:t xml:space="preserve"> follow</w:t>
      </w:r>
      <w:r w:rsidR="00C70993">
        <w:t>ed</w:t>
      </w:r>
      <w:r w:rsidR="00F25DBA">
        <w:t>, o</w:t>
      </w:r>
      <w:r w:rsidR="00C973B4">
        <w:t>ver</w:t>
      </w:r>
      <w:r w:rsidR="00C973B4" w:rsidRPr="00771679">
        <w:t>crowd</w:t>
      </w:r>
      <w:r w:rsidR="00F25DBA">
        <w:t>ing and lack of medical care lead to increased</w:t>
      </w:r>
      <w:r w:rsidR="00C973B4" w:rsidRPr="00771679">
        <w:t xml:space="preserve"> sickness and disease</w:t>
      </w:r>
      <w:r w:rsidR="00F25DBA">
        <w:t xml:space="preserve"> among </w:t>
      </w:r>
      <w:r w:rsidR="00C70993">
        <w:t xml:space="preserve">the </w:t>
      </w:r>
      <w:r w:rsidR="00F25DBA">
        <w:t>prisoners.</w:t>
      </w:r>
      <w:r w:rsidR="00BE44D5">
        <w:rPr>
          <w:rStyle w:val="FootnoteReference"/>
        </w:rPr>
        <w:footnoteReference w:id="57"/>
      </w:r>
      <w:r w:rsidR="00C973B4">
        <w:t xml:space="preserve"> </w:t>
      </w:r>
      <w:r w:rsidR="00DE0F1D">
        <w:t xml:space="preserve">Still, </w:t>
      </w:r>
      <w:r w:rsidR="00F25DBA">
        <w:t xml:space="preserve">such </w:t>
      </w:r>
      <w:r w:rsidR="00DE0F1D">
        <w:t xml:space="preserve">inhospitable conditions </w:t>
      </w:r>
      <w:r w:rsidR="00F25DBA">
        <w:t>pervaded</w:t>
      </w:r>
      <w:r w:rsidR="00DE0F1D">
        <w:t xml:space="preserve"> POW</w:t>
      </w:r>
      <w:r w:rsidR="00DE0F1D" w:rsidRPr="00970F46">
        <w:t xml:space="preserve"> camps</w:t>
      </w:r>
      <w:r w:rsidR="00DE0F1D">
        <w:t xml:space="preserve"> </w:t>
      </w:r>
      <w:r w:rsidR="004F527C">
        <w:t>on both sides of the Mason-Dixon line</w:t>
      </w:r>
      <w:r w:rsidR="0031647F">
        <w:t xml:space="preserve">. </w:t>
      </w:r>
      <w:r w:rsidR="00C973B4">
        <w:t>C</w:t>
      </w:r>
      <w:r w:rsidR="00C973B4" w:rsidRPr="00970F46">
        <w:t>amp Morton</w:t>
      </w:r>
      <w:r w:rsidR="0031647F">
        <w:t>, to its credit,</w:t>
      </w:r>
      <w:r w:rsidR="00DE0F1D">
        <w:t xml:space="preserve"> </w:t>
      </w:r>
      <w:r w:rsidR="00C973B4" w:rsidRPr="00970F46">
        <w:t>had the lowest mortality ra</w:t>
      </w:r>
      <w:r w:rsidR="00DE0F1D">
        <w:t>te among those within the Union</w:t>
      </w:r>
      <w:r w:rsidR="004F527C">
        <w:t>, a feat often attributed to Col. Richard Owen’s humane treatment of the prisoners.</w:t>
      </w:r>
      <w:r w:rsidR="00FB3DB0">
        <w:rPr>
          <w:rStyle w:val="FootnoteReference"/>
        </w:rPr>
        <w:footnoteReference w:id="58"/>
      </w:r>
    </w:p>
    <w:p w14:paraId="4398F05E" w14:textId="1B8B306C" w:rsidR="002E591C" w:rsidRDefault="005C0143" w:rsidP="003E6D1B">
      <w:pPr>
        <w:spacing w:after="160" w:line="360" w:lineRule="auto"/>
        <w:ind w:left="360" w:right="360" w:firstLine="720"/>
        <w:jc w:val="both"/>
      </w:pPr>
      <w:r>
        <w:t xml:space="preserve">The Lieber Code </w:t>
      </w:r>
      <w:r w:rsidR="007A4F8B">
        <w:t xml:space="preserve">marked the first attempt among any nation </w:t>
      </w:r>
      <w:r w:rsidR="00056A66">
        <w:t xml:space="preserve">at codifying </w:t>
      </w:r>
      <w:r w:rsidR="00056A66" w:rsidRPr="007A4F8B">
        <w:t xml:space="preserve">the laws and </w:t>
      </w:r>
      <w:r>
        <w:t>customs of war. By influencing</w:t>
      </w:r>
      <w:r w:rsidR="00056A66">
        <w:t xml:space="preserve"> the adoption of simi</w:t>
      </w:r>
      <w:r>
        <w:t xml:space="preserve">lar regulations in other </w:t>
      </w:r>
      <w:r w:rsidR="00580DF3" w:rsidRPr="00F44F7B">
        <w:t>nation-</w:t>
      </w:r>
      <w:r w:rsidRPr="00F44F7B">
        <w:t>states</w:t>
      </w:r>
      <w:r w:rsidR="00056A66" w:rsidRPr="00F44F7B">
        <w:t>,</w:t>
      </w:r>
      <w:r w:rsidR="00056A66">
        <w:t xml:space="preserve"> the measure </w:t>
      </w:r>
      <w:r w:rsidR="00B60E72">
        <w:t>helped lay the</w:t>
      </w:r>
      <w:r>
        <w:t xml:space="preserve"> </w:t>
      </w:r>
      <w:r w:rsidR="00EA7062">
        <w:t xml:space="preserve">foundation for </w:t>
      </w:r>
      <w:r w:rsidR="002E591C">
        <w:t xml:space="preserve">future efforts at </w:t>
      </w:r>
      <w:r w:rsidR="00C928F8">
        <w:t xml:space="preserve">advancing </w:t>
      </w:r>
      <w:r w:rsidR="006E5BDC">
        <w:t>international humanitarian protocols</w:t>
      </w:r>
      <w:r w:rsidR="002E591C">
        <w:t xml:space="preserve"> during times of war</w:t>
      </w:r>
      <w:r w:rsidR="00C928F8">
        <w:t>.</w:t>
      </w:r>
      <w:r w:rsidR="00BE44D5">
        <w:rPr>
          <w:rStyle w:val="FootnoteReference"/>
        </w:rPr>
        <w:footnoteReference w:id="59"/>
      </w:r>
      <w:r w:rsidR="00C928F8">
        <w:t xml:space="preserve"> </w:t>
      </w:r>
      <w:r w:rsidR="00B60E72">
        <w:t xml:space="preserve"> </w:t>
      </w:r>
    </w:p>
    <w:p w14:paraId="0198AE9C" w14:textId="408293AD" w:rsidR="0082748C" w:rsidRDefault="0082748C" w:rsidP="0082748C">
      <w:pPr>
        <w:ind w:left="360" w:right="360"/>
        <w:jc w:val="center"/>
        <w:rPr>
          <w:b/>
          <w:bCs/>
          <w:smallCaps/>
        </w:rPr>
      </w:pPr>
      <w:r>
        <w:rPr>
          <w:b/>
          <w:bCs/>
          <w:smallCaps/>
        </w:rPr>
        <w:t>Early Multilateral</w:t>
      </w:r>
      <w:r w:rsidRPr="0082748C">
        <w:rPr>
          <w:b/>
          <w:bCs/>
          <w:smallCaps/>
        </w:rPr>
        <w:t xml:space="preserve"> </w:t>
      </w:r>
      <w:r>
        <w:rPr>
          <w:b/>
          <w:bCs/>
          <w:smallCaps/>
        </w:rPr>
        <w:t>Accords</w:t>
      </w:r>
    </w:p>
    <w:p w14:paraId="734B4C4D" w14:textId="77777777" w:rsidR="0082748C" w:rsidRPr="0082748C" w:rsidRDefault="0082748C" w:rsidP="0082748C">
      <w:pPr>
        <w:ind w:left="360" w:right="360"/>
        <w:jc w:val="center"/>
        <w:rPr>
          <w:b/>
          <w:bCs/>
          <w:smallCaps/>
        </w:rPr>
      </w:pPr>
    </w:p>
    <w:p w14:paraId="1C39D477" w14:textId="12B83FB7" w:rsidR="0019387E" w:rsidRPr="0082025A" w:rsidRDefault="003A1B81" w:rsidP="003E6D1B">
      <w:pPr>
        <w:spacing w:after="160" w:line="360" w:lineRule="auto"/>
        <w:ind w:left="360" w:right="360" w:firstLine="720"/>
        <w:jc w:val="both"/>
      </w:pPr>
      <w:r w:rsidRPr="007A4F8B">
        <w:t>The violence and bloodshed</w:t>
      </w:r>
      <w:r>
        <w:t xml:space="preserve"> of the American Civil War and contemporary conflicts in </w:t>
      </w:r>
      <w:r w:rsidRPr="004464B4">
        <w:t>Europe led to a series of multi-lateral conventions designed to mitigate human suffering. The first of these accords resulted largely from the efforts of Henri Dunant, a Swiss philanthropist and founding member of what would become the International Committee of the Red Cross. In August of 1864, Dunant, prompted by the atrocities he had witnessed at the Battle of Solferino five years prior,</w:t>
      </w:r>
      <w:r w:rsidRPr="004464B4">
        <w:rPr>
          <w:rStyle w:val="FootnoteReference"/>
        </w:rPr>
        <w:footnoteReference w:id="60"/>
      </w:r>
      <w:r w:rsidRPr="004464B4">
        <w:t xml:space="preserve"> convened representatives from </w:t>
      </w:r>
      <w:r>
        <w:t>s</w:t>
      </w:r>
      <w:r w:rsidRPr="0082025A">
        <w:t>ixteen nations</w:t>
      </w:r>
      <w:r>
        <w:t xml:space="preserve"> (including the United States)</w:t>
      </w:r>
      <w:r w:rsidRPr="0082025A">
        <w:t xml:space="preserve"> </w:t>
      </w:r>
      <w:r>
        <w:t xml:space="preserve">at Geneva to negotiate and ultimately adopt </w:t>
      </w:r>
      <w:r w:rsidRPr="0082025A">
        <w:t>the Convention for the A</w:t>
      </w:r>
      <w:r>
        <w:t>melioration of the Conditions o</w:t>
      </w:r>
      <w:r w:rsidRPr="0082025A">
        <w:t xml:space="preserve">f the </w:t>
      </w:r>
      <w:r>
        <w:t>Wounded in Armies in the Field.</w:t>
      </w:r>
      <w:r w:rsidR="00F55ECE">
        <w:rPr>
          <w:rStyle w:val="FootnoteReference"/>
        </w:rPr>
        <w:footnoteReference w:id="61"/>
      </w:r>
      <w:r w:rsidR="007F7B6C">
        <w:t xml:space="preserve"> The main principles established in the Convention (and preserved in subsequent Geneva Conventions)</w:t>
      </w:r>
      <w:r w:rsidR="003460B6">
        <w:t xml:space="preserve"> included relief to the wounded</w:t>
      </w:r>
      <w:r w:rsidR="007F7B6C">
        <w:t xml:space="preserve"> without distinction of </w:t>
      </w:r>
      <w:r w:rsidR="003460B6">
        <w:t>nationality,</w:t>
      </w:r>
      <w:r w:rsidR="00433AA9" w:rsidRPr="003E752C">
        <w:t xml:space="preserve"> </w:t>
      </w:r>
      <w:r w:rsidR="007F7B6C" w:rsidRPr="003E752C">
        <w:t>the</w:t>
      </w:r>
      <w:r w:rsidR="00433AA9" w:rsidRPr="003E752C">
        <w:t xml:space="preserve"> neutrality o</w:t>
      </w:r>
      <w:r w:rsidR="0019387E" w:rsidRPr="003E752C">
        <w:t>f medical personnel and facilities</w:t>
      </w:r>
      <w:r w:rsidR="003460B6">
        <w:t>,</w:t>
      </w:r>
      <w:r w:rsidR="007F7B6C" w:rsidRPr="003E752C">
        <w:t xml:space="preserve"> and the distinctive emblem of the red cross</w:t>
      </w:r>
      <w:r w:rsidR="0019387E" w:rsidRPr="003E752C">
        <w:t>. The Geneva Convention of 1906</w:t>
      </w:r>
      <w:r w:rsidR="00433AA9" w:rsidRPr="003E752C">
        <w:t xml:space="preserve">, to which </w:t>
      </w:r>
      <w:r w:rsidR="007F7B6C" w:rsidRPr="003E752C">
        <w:t>the United States</w:t>
      </w:r>
      <w:r w:rsidR="00433AA9" w:rsidRPr="003E752C">
        <w:t xml:space="preserve"> </w:t>
      </w:r>
      <w:r>
        <w:t>became a party</w:t>
      </w:r>
      <w:r w:rsidR="00433AA9" w:rsidRPr="003E752C">
        <w:t>,</w:t>
      </w:r>
      <w:r w:rsidR="0019387E" w:rsidRPr="003E752C">
        <w:t xml:space="preserve"> added twenty-one articles, </w:t>
      </w:r>
      <w:r w:rsidR="007F7B6C" w:rsidRPr="003E752C">
        <w:t xml:space="preserve">which included </w:t>
      </w:r>
      <w:r w:rsidR="003E752C" w:rsidRPr="003E752C">
        <w:t>provisions for the burial of the dead, the transmission of information</w:t>
      </w:r>
      <w:r w:rsidR="003460B6">
        <w:t xml:space="preserve"> between belligerent states</w:t>
      </w:r>
      <w:r w:rsidR="003E752C" w:rsidRPr="003E752C">
        <w:t>, and the recognition of voluntary aid societies.</w:t>
      </w:r>
      <w:r w:rsidR="00F55ECE">
        <w:rPr>
          <w:rStyle w:val="FootnoteReference"/>
        </w:rPr>
        <w:footnoteReference w:id="62"/>
      </w:r>
    </w:p>
    <w:p w14:paraId="563CDC95" w14:textId="15575089" w:rsidR="002B52E9" w:rsidRDefault="00EB47C2" w:rsidP="003E6D1B">
      <w:pPr>
        <w:spacing w:after="160" w:line="360" w:lineRule="auto"/>
        <w:ind w:left="360" w:right="360" w:firstLine="720"/>
        <w:jc w:val="both"/>
      </w:pPr>
      <w:r w:rsidRPr="00E87147">
        <w:t>The Hague Convention</w:t>
      </w:r>
      <w:r w:rsidR="00A65FD3" w:rsidRPr="00E87147">
        <w:t>s</w:t>
      </w:r>
      <w:r w:rsidR="00D1285C" w:rsidRPr="00E87147">
        <w:t xml:space="preserve"> of </w:t>
      </w:r>
      <w:r w:rsidR="00A65FD3" w:rsidRPr="00E87147">
        <w:t>1899</w:t>
      </w:r>
      <w:r w:rsidR="00BA6094">
        <w:rPr>
          <w:rStyle w:val="FootnoteReference"/>
        </w:rPr>
        <w:footnoteReference w:id="63"/>
      </w:r>
      <w:r w:rsidR="00A65FD3" w:rsidRPr="00E87147">
        <w:t xml:space="preserve"> and </w:t>
      </w:r>
      <w:r w:rsidR="00973C92" w:rsidRPr="00E87147">
        <w:t>1907</w:t>
      </w:r>
      <w:r w:rsidR="00BA6094">
        <w:rPr>
          <w:rStyle w:val="FootnoteReference"/>
        </w:rPr>
        <w:footnoteReference w:id="64"/>
      </w:r>
      <w:r w:rsidR="00580DF3" w:rsidRPr="00E87147">
        <w:t>—</w:t>
      </w:r>
      <w:r w:rsidR="00A65FD3" w:rsidRPr="00E87147">
        <w:t>intended to expand upon and implement</w:t>
      </w:r>
      <w:r w:rsidR="00973C92" w:rsidRPr="00E87147">
        <w:t xml:space="preserve"> the </w:t>
      </w:r>
      <w:r w:rsidR="003E752C" w:rsidRPr="00E87147">
        <w:t>1874</w:t>
      </w:r>
      <w:r w:rsidR="00A65FD3" w:rsidRPr="00E87147">
        <w:t xml:space="preserve"> Brussels Declaration</w:t>
      </w:r>
      <w:r w:rsidR="00702A45">
        <w:rPr>
          <w:rStyle w:val="FootnoteReference"/>
        </w:rPr>
        <w:footnoteReference w:id="65"/>
      </w:r>
      <w:r w:rsidR="00A65FD3" w:rsidRPr="00E87147">
        <w:t xml:space="preserve"> of principles concerning the laws and customs of war</w:t>
      </w:r>
      <w:r w:rsidR="00580DF3" w:rsidRPr="00E87147">
        <w:t>—</w:t>
      </w:r>
      <w:r w:rsidR="00580DF3" w:rsidRPr="004464B4">
        <w:t xml:space="preserve">included </w:t>
      </w:r>
      <w:r w:rsidR="00D1285C" w:rsidRPr="004464B4">
        <w:t>several important</w:t>
      </w:r>
      <w:r w:rsidR="0019387E" w:rsidRPr="004464B4">
        <w:t xml:space="preserve"> clause</w:t>
      </w:r>
      <w:r w:rsidR="00D1285C" w:rsidRPr="004464B4">
        <w:t>s</w:t>
      </w:r>
      <w:r w:rsidR="0019387E" w:rsidRPr="004464B4">
        <w:t xml:space="preserve"> </w:t>
      </w:r>
      <w:r w:rsidR="00D1285C" w:rsidRPr="004464B4">
        <w:t>concerning</w:t>
      </w:r>
      <w:r w:rsidR="0019387E" w:rsidRPr="004464B4">
        <w:t xml:space="preserve"> POW</w:t>
      </w:r>
      <w:r w:rsidR="00D1285C" w:rsidRPr="004464B4">
        <w:t xml:space="preserve">s. </w:t>
      </w:r>
      <w:r w:rsidR="00E87147" w:rsidRPr="004464B4">
        <w:t xml:space="preserve">For example, </w:t>
      </w:r>
      <w:r w:rsidR="00D1285C" w:rsidRPr="004464B4">
        <w:t xml:space="preserve">Article </w:t>
      </w:r>
      <w:r w:rsidR="006E266B" w:rsidRPr="004464B4">
        <w:t>6</w:t>
      </w:r>
      <w:r w:rsidR="00E87147" w:rsidRPr="004464B4">
        <w:t xml:space="preserve"> of the</w:t>
      </w:r>
      <w:r w:rsidR="00610687" w:rsidRPr="004464B4">
        <w:t xml:space="preserve"> Annex</w:t>
      </w:r>
      <w:r w:rsidR="00E87147" w:rsidRPr="004464B4">
        <w:t xml:space="preserve"> (common to both Conventions)</w:t>
      </w:r>
      <w:r w:rsidR="006E266B" w:rsidRPr="004464B4">
        <w:t xml:space="preserve"> regulated for the first time</w:t>
      </w:r>
      <w:r w:rsidR="0019387E" w:rsidRPr="004464B4">
        <w:t xml:space="preserve"> </w:t>
      </w:r>
      <w:r w:rsidR="006E266B" w:rsidRPr="004464B4">
        <w:t>a belligerent state’s use of prisoner labor</w:t>
      </w:r>
      <w:r w:rsidR="0019387E" w:rsidRPr="004464B4">
        <w:t>,</w:t>
      </w:r>
      <w:r w:rsidR="006E266B" w:rsidRPr="004464B4">
        <w:t xml:space="preserve"> which could “not be excessive” and could have “no connection with the operations of the war.”</w:t>
      </w:r>
      <w:r w:rsidR="00BA6094" w:rsidRPr="004464B4">
        <w:rPr>
          <w:rStyle w:val="FootnoteReference"/>
        </w:rPr>
        <w:footnoteReference w:id="66"/>
      </w:r>
      <w:r w:rsidR="006E266B" w:rsidRPr="004464B4">
        <w:t xml:space="preserve"> </w:t>
      </w:r>
      <w:r w:rsidR="00E224CB" w:rsidRPr="004464B4">
        <w:t>For its part, the United States—despite French and British encouragement to avoid taking prisoners—</w:t>
      </w:r>
      <w:r w:rsidR="00F8637F">
        <w:t>adhered to its obligations of humane</w:t>
      </w:r>
      <w:r w:rsidR="00E224CB" w:rsidRPr="004464B4">
        <w:t xml:space="preserve"> treatment.</w:t>
      </w:r>
      <w:r w:rsidR="00BC35DD" w:rsidRPr="004464B4">
        <w:rPr>
          <w:rStyle w:val="FootnoteReference"/>
        </w:rPr>
        <w:footnoteReference w:id="67"/>
      </w:r>
      <w:r w:rsidR="00E224CB" w:rsidRPr="004464B4">
        <w:t xml:space="preserve"> </w:t>
      </w:r>
      <w:r w:rsidR="002E71C5" w:rsidRPr="004464B4">
        <w:t>A report from postal censors noted that German “[p]risoners of war under American jurisdiction continue to send home glowing reports of good treatment.”</w:t>
      </w:r>
      <w:r w:rsidR="002E71C5" w:rsidRPr="004464B4">
        <w:rPr>
          <w:rStyle w:val="FootnoteReference"/>
        </w:rPr>
        <w:footnoteReference w:id="68"/>
      </w:r>
      <w:r w:rsidR="002E71C5" w:rsidRPr="004464B4">
        <w:t xml:space="preserve"> Another described the “treatment accorded them as ‘ritterlich’ (princely), especially the food.”</w:t>
      </w:r>
      <w:r w:rsidR="002E71C5" w:rsidRPr="004464B4">
        <w:rPr>
          <w:rStyle w:val="FootnoteReference"/>
        </w:rPr>
        <w:footnoteReference w:id="69"/>
      </w:r>
      <w:r w:rsidR="002E71C5">
        <w:t xml:space="preserve"> </w:t>
      </w:r>
    </w:p>
    <w:p w14:paraId="0EC4750C" w14:textId="398CB81B" w:rsidR="00E3697C" w:rsidRPr="00F8637F" w:rsidRDefault="002B52E9" w:rsidP="00F8637F">
      <w:pPr>
        <w:spacing w:after="160" w:line="360" w:lineRule="auto"/>
        <w:ind w:left="360" w:right="360" w:firstLine="720"/>
        <w:jc w:val="both"/>
      </w:pPr>
      <w:r w:rsidRPr="00E87147">
        <w:t xml:space="preserve">The Hague Conventions signaled an important step in the development of international </w:t>
      </w:r>
      <w:r w:rsidRPr="004464B4">
        <w:t xml:space="preserve">humanitarian law. </w:t>
      </w:r>
      <w:r w:rsidR="004464B4">
        <w:t>H</w:t>
      </w:r>
      <w:r w:rsidR="00764327" w:rsidRPr="004464B4">
        <w:t>owever, the scope</w:t>
      </w:r>
      <w:r w:rsidR="00764327" w:rsidRPr="00E87147">
        <w:t xml:space="preserve"> of devastation wrought by World War I </w:t>
      </w:r>
      <w:r w:rsidR="00F0108A" w:rsidRPr="00E87147">
        <w:t>revealed broad</w:t>
      </w:r>
      <w:r w:rsidR="00E87147" w:rsidRPr="00E87147">
        <w:t xml:space="preserve"> insufficiencies in these international agreements</w:t>
      </w:r>
      <w:r w:rsidR="00F0108A" w:rsidRPr="00E87147">
        <w:t xml:space="preserve">. Article 2 proved especially inadequate by declaring that </w:t>
      </w:r>
      <w:r w:rsidR="0070741B" w:rsidRPr="00E87147">
        <w:t>regulations</w:t>
      </w:r>
      <w:r w:rsidR="00E87147" w:rsidRPr="00E87147">
        <w:t xml:space="preserve"> </w:t>
      </w:r>
      <w:r w:rsidR="00F0108A" w:rsidRPr="00E87147">
        <w:t>“</w:t>
      </w:r>
      <w:r w:rsidR="00E87147" w:rsidRPr="00E87147">
        <w:t xml:space="preserve">do </w:t>
      </w:r>
      <w:r w:rsidR="00764327" w:rsidRPr="00E87147">
        <w:t>not apply except between Contracting powers, and then only if all the belligerents are parties to the Convention.</w:t>
      </w:r>
      <w:r w:rsidR="0070741B" w:rsidRPr="00E87147">
        <w:t>”</w:t>
      </w:r>
      <w:r w:rsidR="00BA6094">
        <w:rPr>
          <w:rStyle w:val="FootnoteReference"/>
        </w:rPr>
        <w:footnoteReference w:id="70"/>
      </w:r>
      <w:r>
        <w:t xml:space="preserve"> </w:t>
      </w:r>
      <w:r w:rsidR="00F8637F">
        <w:t>T</w:t>
      </w:r>
      <w:r w:rsidR="00F0108A" w:rsidRPr="00E87147">
        <w:t xml:space="preserve">he lack of an express mechanism to </w:t>
      </w:r>
      <w:r w:rsidR="0070741B" w:rsidRPr="00E87147">
        <w:t xml:space="preserve">ensure adherence to </w:t>
      </w:r>
      <w:r w:rsidR="00A65FD3" w:rsidRPr="00E87147">
        <w:t>Convention</w:t>
      </w:r>
      <w:r w:rsidR="00E87147" w:rsidRPr="00E87147">
        <w:t xml:space="preserve"> terms</w:t>
      </w:r>
      <w:r w:rsidR="00D14F07" w:rsidRPr="00E87147">
        <w:t xml:space="preserve"> </w:t>
      </w:r>
      <w:r w:rsidR="00F0108A" w:rsidRPr="00E87147">
        <w:t xml:space="preserve">ultimately forced </w:t>
      </w:r>
      <w:r w:rsidR="0070741B" w:rsidRPr="00E87147">
        <w:t>the negotiation of</w:t>
      </w:r>
      <w:r w:rsidR="00D14F07" w:rsidRPr="00E87147">
        <w:t xml:space="preserve"> individual treaties.</w:t>
      </w:r>
      <w:r w:rsidR="0070741B" w:rsidRPr="00E87147">
        <w:t xml:space="preserve"> </w:t>
      </w:r>
    </w:p>
    <w:p w14:paraId="083238D6" w14:textId="6D14219F" w:rsidR="009B66E8" w:rsidRPr="009A3D93" w:rsidRDefault="009B66E8" w:rsidP="00D50528">
      <w:pPr>
        <w:ind w:left="360" w:right="360"/>
        <w:jc w:val="center"/>
        <w:rPr>
          <w:b/>
          <w:bCs/>
          <w:smallCaps/>
        </w:rPr>
      </w:pPr>
      <w:r w:rsidRPr="009A3D93">
        <w:rPr>
          <w:b/>
          <w:bCs/>
          <w:smallCaps/>
        </w:rPr>
        <w:t>The Geneva Convention</w:t>
      </w:r>
      <w:r w:rsidR="00E6172E" w:rsidRPr="009A3D93">
        <w:rPr>
          <w:b/>
          <w:bCs/>
          <w:smallCaps/>
        </w:rPr>
        <w:t>s</w:t>
      </w:r>
      <w:r w:rsidRPr="009A3D93">
        <w:rPr>
          <w:b/>
          <w:bCs/>
          <w:smallCaps/>
        </w:rPr>
        <w:t xml:space="preserve"> of 1929</w:t>
      </w:r>
    </w:p>
    <w:p w14:paraId="22494D3D" w14:textId="77777777" w:rsidR="009E4AF2" w:rsidRPr="0082025A" w:rsidRDefault="009E4AF2" w:rsidP="009B66E8">
      <w:pPr>
        <w:ind w:left="720"/>
        <w:rPr>
          <w:b/>
        </w:rPr>
      </w:pPr>
    </w:p>
    <w:p w14:paraId="74DAB582" w14:textId="29594B31" w:rsidR="0050543E" w:rsidRDefault="001F510E" w:rsidP="003E6D1B">
      <w:pPr>
        <w:spacing w:after="160" w:line="360" w:lineRule="auto"/>
        <w:ind w:left="360" w:right="360" w:firstLine="720"/>
        <w:jc w:val="both"/>
      </w:pPr>
      <w:r>
        <w:t>In light of the Hague Convention shortcomings, t</w:t>
      </w:r>
      <w:r w:rsidR="009E4AF2" w:rsidRPr="0082025A">
        <w:t xml:space="preserve">he </w:t>
      </w:r>
      <w:r w:rsidRPr="0082025A">
        <w:t xml:space="preserve">International </w:t>
      </w:r>
      <w:r w:rsidR="00B01901" w:rsidRPr="0082025A">
        <w:t xml:space="preserve">Committee </w:t>
      </w:r>
      <w:r w:rsidR="00B01901">
        <w:t xml:space="preserve">of the </w:t>
      </w:r>
      <w:r w:rsidRPr="0082025A">
        <w:t xml:space="preserve">Red Cross </w:t>
      </w:r>
      <w:r w:rsidR="00B01901">
        <w:t xml:space="preserve">convened </w:t>
      </w:r>
      <w:r w:rsidR="00CE768A">
        <w:t>in 1921 to propose an exclusive convention on the treatment of prisoners of war. The Committee’s work resulted in</w:t>
      </w:r>
      <w:r>
        <w:t xml:space="preserve"> </w:t>
      </w:r>
      <w:r w:rsidR="00CE768A">
        <w:t>a draft convention designed to supplement, rather than replace, the Hague regulations.</w:t>
      </w:r>
      <w:r w:rsidR="007E4F10">
        <w:rPr>
          <w:rStyle w:val="FootnoteReference"/>
        </w:rPr>
        <w:footnoteReference w:id="71"/>
      </w:r>
      <w:r w:rsidR="009E4AF2" w:rsidRPr="0082025A">
        <w:t xml:space="preserve"> </w:t>
      </w:r>
      <w:r w:rsidR="00B01901">
        <w:t xml:space="preserve">In receipt of this working document, delegates from </w:t>
      </w:r>
      <w:r w:rsidR="00B01901" w:rsidRPr="0082025A">
        <w:t xml:space="preserve">forty-seven </w:t>
      </w:r>
      <w:r w:rsidR="00B01901">
        <w:t xml:space="preserve">nations </w:t>
      </w:r>
      <w:r w:rsidR="00B01901" w:rsidRPr="00CE768A">
        <w:t>met in Geneva</w:t>
      </w:r>
      <w:r w:rsidR="00B01901">
        <w:t xml:space="preserve"> during </w:t>
      </w:r>
      <w:r w:rsidR="00B01901" w:rsidRPr="00CE768A">
        <w:t xml:space="preserve">the spring and early summer of 1929 to </w:t>
      </w:r>
      <w:r w:rsidR="00B01901">
        <w:t>recodify</w:t>
      </w:r>
      <w:r w:rsidR="00B01901" w:rsidRPr="00CE768A">
        <w:t xml:space="preserve"> international laws relating to prisoners of war. </w:t>
      </w:r>
      <w:r w:rsidR="00BF2B05">
        <w:t>The</w:t>
      </w:r>
      <w:r w:rsidR="009E4AF2" w:rsidRPr="0082025A">
        <w:t xml:space="preserve"> </w:t>
      </w:r>
      <w:r w:rsidR="00BF2B05">
        <w:t>conference</w:t>
      </w:r>
      <w:r w:rsidR="009E4AF2" w:rsidRPr="0082025A">
        <w:t xml:space="preserve"> produced t</w:t>
      </w:r>
      <w:r w:rsidR="00BF2B05">
        <w:t xml:space="preserve">wo new documents: (1) </w:t>
      </w:r>
      <w:r w:rsidR="009E4AF2" w:rsidRPr="0082025A">
        <w:t>the Convention Relative to the Treat</w:t>
      </w:r>
      <w:r w:rsidR="00BF2B05">
        <w:t>ment of Prisoners of War</w:t>
      </w:r>
      <w:r w:rsidR="00C97A08">
        <w:t>,</w:t>
      </w:r>
      <w:r w:rsidR="00C97A08">
        <w:rPr>
          <w:rStyle w:val="FootnoteReference"/>
        </w:rPr>
        <w:footnoteReference w:id="72"/>
      </w:r>
      <w:r w:rsidR="00C97A08">
        <w:t xml:space="preserve"> </w:t>
      </w:r>
      <w:r w:rsidR="00BF2B05">
        <w:t>and (2)</w:t>
      </w:r>
      <w:r w:rsidR="009E4AF2" w:rsidRPr="0082025A">
        <w:t xml:space="preserve"> </w:t>
      </w:r>
      <w:r w:rsidR="00BF2B05" w:rsidRPr="00CE768A">
        <w:t>the Convention for the Amelioration of the Condition of the Wounded and Sick of Armies in the Field</w:t>
      </w:r>
      <w:r w:rsidR="009E4AF2" w:rsidRPr="0082025A">
        <w:t>.</w:t>
      </w:r>
      <w:r w:rsidR="009E4AF2" w:rsidRPr="0082025A">
        <w:rPr>
          <w:rStyle w:val="FootnoteReference"/>
        </w:rPr>
        <w:footnoteReference w:id="73"/>
      </w:r>
      <w:r w:rsidR="008F13B6">
        <w:t xml:space="preserve"> </w:t>
      </w:r>
    </w:p>
    <w:p w14:paraId="3B10C1A7" w14:textId="30D2C977" w:rsidR="00C9292D" w:rsidRDefault="0050543E" w:rsidP="003E6D1B">
      <w:pPr>
        <w:spacing w:after="160" w:line="360" w:lineRule="auto"/>
        <w:ind w:left="360" w:right="360" w:firstLine="720"/>
        <w:jc w:val="both"/>
      </w:pPr>
      <w:r w:rsidRPr="0082025A">
        <w:t xml:space="preserve">The </w:t>
      </w:r>
      <w:r>
        <w:t>Geneva Conventions advanced</w:t>
      </w:r>
      <w:r w:rsidRPr="0082025A">
        <w:t xml:space="preserve"> </w:t>
      </w:r>
      <w:r>
        <w:t>far</w:t>
      </w:r>
      <w:r w:rsidRPr="0082025A">
        <w:t xml:space="preserve"> beyond </w:t>
      </w:r>
      <w:r>
        <w:t xml:space="preserve">previous </w:t>
      </w:r>
      <w:r w:rsidRPr="0082025A">
        <w:t xml:space="preserve">attempts </w:t>
      </w:r>
      <w:r>
        <w:t>at codifying</w:t>
      </w:r>
      <w:r w:rsidRPr="0082025A">
        <w:t xml:space="preserve"> international</w:t>
      </w:r>
      <w:r>
        <w:t xml:space="preserve"> humanitarian</w:t>
      </w:r>
      <w:r w:rsidRPr="0082025A">
        <w:t xml:space="preserve"> law </w:t>
      </w:r>
      <w:r>
        <w:t>to limit the effects of armed conflict</w:t>
      </w:r>
      <w:r w:rsidRPr="0082025A">
        <w:t>.</w:t>
      </w:r>
      <w:r>
        <w:t xml:space="preserve"> Each document</w:t>
      </w:r>
      <w:r w:rsidR="008F13B6">
        <w:t>, to remedy the shortcoming of the Hague Convention, specified that “if, in time o</w:t>
      </w:r>
      <w:r w:rsidR="008F13B6" w:rsidRPr="0082025A">
        <w:t>f war</w:t>
      </w:r>
      <w:r w:rsidR="008F13B6">
        <w:t>,</w:t>
      </w:r>
      <w:r w:rsidR="008F13B6" w:rsidRPr="0082025A">
        <w:t xml:space="preserve"> </w:t>
      </w:r>
      <w:r>
        <w:t>a belligerent</w:t>
      </w:r>
      <w:r w:rsidR="008F13B6" w:rsidRPr="0082025A">
        <w:t xml:space="preserve"> </w:t>
      </w:r>
      <w:r w:rsidRPr="0050543E">
        <w:t>is not a party to the Convention, its provisions shall,</w:t>
      </w:r>
      <w:r>
        <w:t xml:space="preserve"> </w:t>
      </w:r>
      <w:r w:rsidRPr="0050543E">
        <w:t>nevertheless, be binding as between all the belli</w:t>
      </w:r>
      <w:r>
        <w:t>gerents who are parties thereto</w:t>
      </w:r>
      <w:r w:rsidR="008F13B6" w:rsidRPr="0082025A">
        <w:t>.”</w:t>
      </w:r>
      <w:r w:rsidR="00497FC9">
        <w:rPr>
          <w:rStyle w:val="FootnoteReference"/>
        </w:rPr>
        <w:footnoteReference w:id="74"/>
      </w:r>
    </w:p>
    <w:p w14:paraId="1CE2AE11" w14:textId="209677CD" w:rsidR="005C6172" w:rsidRPr="00E41CB8" w:rsidRDefault="0050543E" w:rsidP="00E41CB8">
      <w:pPr>
        <w:spacing w:after="160" w:line="360" w:lineRule="auto"/>
        <w:ind w:left="360" w:right="360" w:firstLine="720"/>
        <w:jc w:val="both"/>
        <w:rPr>
          <w:rFonts w:eastAsia="Times New Roman" w:cs="Times New Roman"/>
        </w:rPr>
      </w:pPr>
      <w:r>
        <w:t>T</w:t>
      </w:r>
      <w:r w:rsidR="00F24DE7">
        <w:t xml:space="preserve">he </w:t>
      </w:r>
      <w:r w:rsidR="00F24DE7" w:rsidRPr="00CE768A">
        <w:t>Prisoner of War Convention</w:t>
      </w:r>
      <w:r w:rsidR="007E4F10">
        <w:t xml:space="preserve"> </w:t>
      </w:r>
      <w:r w:rsidR="000470DE">
        <w:t>expanded on the rules of conduct significantly</w:t>
      </w:r>
      <w:r>
        <w:t xml:space="preserve">. </w:t>
      </w:r>
      <w:r w:rsidR="000470DE">
        <w:rPr>
          <w:rFonts w:eastAsia="Times New Roman" w:cs="Times New Roman"/>
        </w:rPr>
        <w:t>Notable</w:t>
      </w:r>
      <w:r w:rsidR="00DE6447" w:rsidRPr="00676101">
        <w:rPr>
          <w:rFonts w:eastAsia="Times New Roman" w:cs="Times New Roman"/>
        </w:rPr>
        <w:t xml:space="preserve"> innovations consisted of the prohibition of reprisals and collective </w:t>
      </w:r>
      <w:r w:rsidR="007E4F10">
        <w:rPr>
          <w:rFonts w:eastAsia="Times New Roman" w:cs="Times New Roman"/>
        </w:rPr>
        <w:t>punishment</w:t>
      </w:r>
      <w:r w:rsidR="00DE6447">
        <w:rPr>
          <w:rFonts w:eastAsia="Times New Roman" w:cs="Times New Roman"/>
        </w:rPr>
        <w:t>;</w:t>
      </w:r>
      <w:r w:rsidR="007E4F10">
        <w:rPr>
          <w:rStyle w:val="FootnoteReference"/>
          <w:rFonts w:eastAsia="Times New Roman" w:cs="Times New Roman"/>
        </w:rPr>
        <w:footnoteReference w:id="75"/>
      </w:r>
      <w:r w:rsidR="00DE6447">
        <w:rPr>
          <w:rFonts w:eastAsia="Times New Roman" w:cs="Times New Roman"/>
        </w:rPr>
        <w:t xml:space="preserve"> the or</w:t>
      </w:r>
      <w:r w:rsidR="00E41CB8">
        <w:rPr>
          <w:rFonts w:eastAsia="Times New Roman" w:cs="Times New Roman"/>
        </w:rPr>
        <w:t>ganization of POW labor</w:t>
      </w:r>
      <w:r w:rsidR="00DE6447" w:rsidRPr="00676101">
        <w:rPr>
          <w:rFonts w:eastAsia="Times New Roman" w:cs="Times New Roman"/>
        </w:rPr>
        <w:t>;</w:t>
      </w:r>
      <w:r w:rsidR="00E41CB8">
        <w:rPr>
          <w:rStyle w:val="FootnoteReference"/>
          <w:rFonts w:eastAsia="Times New Roman" w:cs="Times New Roman"/>
        </w:rPr>
        <w:footnoteReference w:id="76"/>
      </w:r>
      <w:r w:rsidR="00DE6447" w:rsidRPr="00676101">
        <w:rPr>
          <w:rFonts w:eastAsia="Times New Roman" w:cs="Times New Roman"/>
        </w:rPr>
        <w:t xml:space="preserve"> the</w:t>
      </w:r>
      <w:r w:rsidR="00DE6447">
        <w:rPr>
          <w:rFonts w:eastAsia="Times New Roman" w:cs="Times New Roman"/>
        </w:rPr>
        <w:t xml:space="preserve"> right of neutral authorities to</w:t>
      </w:r>
      <w:r w:rsidR="00DA241F">
        <w:rPr>
          <w:rFonts w:eastAsia="Times New Roman" w:cs="Times New Roman"/>
        </w:rPr>
        <w:t xml:space="preserve"> inspect prison camps</w:t>
      </w:r>
      <w:r w:rsidR="00DE6447">
        <w:rPr>
          <w:rFonts w:eastAsia="Times New Roman" w:cs="Times New Roman"/>
        </w:rPr>
        <w:t>;</w:t>
      </w:r>
      <w:r w:rsidR="00E41CB8">
        <w:rPr>
          <w:rStyle w:val="FootnoteReference"/>
          <w:rFonts w:eastAsia="Times New Roman" w:cs="Times New Roman"/>
        </w:rPr>
        <w:footnoteReference w:id="77"/>
      </w:r>
      <w:r w:rsidR="00DE6447" w:rsidRPr="00676101">
        <w:rPr>
          <w:rFonts w:eastAsia="Times New Roman" w:cs="Times New Roman"/>
        </w:rPr>
        <w:t xml:space="preserve"> and the </w:t>
      </w:r>
      <w:r w:rsidR="00DE6447">
        <w:rPr>
          <w:rFonts w:eastAsia="Times New Roman" w:cs="Times New Roman"/>
        </w:rPr>
        <w:t>expanded responsibilities of the captor state to ensure priso</w:t>
      </w:r>
      <w:r w:rsidR="00E41CB8">
        <w:rPr>
          <w:rFonts w:eastAsia="Times New Roman" w:cs="Times New Roman"/>
        </w:rPr>
        <w:t>ner health and safety</w:t>
      </w:r>
      <w:r w:rsidR="00DE6447" w:rsidRPr="00676101">
        <w:rPr>
          <w:rFonts w:eastAsia="Times New Roman" w:cs="Times New Roman"/>
        </w:rPr>
        <w:t>.</w:t>
      </w:r>
      <w:r w:rsidR="00E41CB8">
        <w:rPr>
          <w:rStyle w:val="FootnoteReference"/>
          <w:rFonts w:eastAsia="Times New Roman" w:cs="Times New Roman"/>
        </w:rPr>
        <w:footnoteReference w:id="78"/>
      </w:r>
      <w:r w:rsidR="00FA67FF">
        <w:rPr>
          <w:rFonts w:eastAsia="Times New Roman" w:cs="Times New Roman"/>
        </w:rPr>
        <w:t xml:space="preserve"> In addition, the Convention </w:t>
      </w:r>
      <w:r w:rsidR="001F6BDD">
        <w:rPr>
          <w:rFonts w:eastAsia="Times New Roman" w:cs="Times New Roman"/>
        </w:rPr>
        <w:t xml:space="preserve">required </w:t>
      </w:r>
      <w:r w:rsidR="00FA67FF">
        <w:rPr>
          <w:rFonts w:eastAsia="Times New Roman" w:cs="Times New Roman"/>
        </w:rPr>
        <w:t>each prisoner</w:t>
      </w:r>
      <w:r w:rsidR="001F6BDD">
        <w:rPr>
          <w:rFonts w:eastAsia="Times New Roman" w:cs="Times New Roman"/>
        </w:rPr>
        <w:t xml:space="preserve"> to </w:t>
      </w:r>
      <w:r w:rsidR="00AD04D3">
        <w:rPr>
          <w:rFonts w:eastAsia="Times New Roman" w:cs="Times New Roman"/>
        </w:rPr>
        <w:t>provide</w:t>
      </w:r>
      <w:r w:rsidR="001F6BDD">
        <w:rPr>
          <w:rFonts w:eastAsia="Times New Roman" w:cs="Times New Roman"/>
        </w:rPr>
        <w:t xml:space="preserve"> only </w:t>
      </w:r>
      <w:r w:rsidR="00FA67FF">
        <w:rPr>
          <w:rFonts w:eastAsia="Times New Roman" w:cs="Times New Roman"/>
        </w:rPr>
        <w:t>“</w:t>
      </w:r>
      <w:r w:rsidR="00FA67FF" w:rsidRPr="00FA67FF">
        <w:rPr>
          <w:rFonts w:eastAsia="Times New Roman" w:cs="Times New Roman"/>
        </w:rPr>
        <w:t>his true name</w:t>
      </w:r>
      <w:r w:rsidR="00E41CB8">
        <w:rPr>
          <w:rFonts w:eastAsia="Times New Roman" w:cs="Times New Roman"/>
        </w:rPr>
        <w:t>s</w:t>
      </w:r>
      <w:r w:rsidR="00FA67FF" w:rsidRPr="00FA67FF">
        <w:rPr>
          <w:rFonts w:eastAsia="Times New Roman" w:cs="Times New Roman"/>
        </w:rPr>
        <w:t xml:space="preserve"> and rank</w:t>
      </w:r>
      <w:r w:rsidR="00E41CB8">
        <w:rPr>
          <w:rFonts w:eastAsia="Times New Roman" w:cs="Times New Roman"/>
        </w:rPr>
        <w:t xml:space="preserve">, or </w:t>
      </w:r>
      <w:r w:rsidR="00FA67FF">
        <w:rPr>
          <w:rFonts w:eastAsia="Times New Roman" w:cs="Times New Roman"/>
        </w:rPr>
        <w:t>his regimental number</w:t>
      </w:r>
      <w:r w:rsidR="001F6BDD">
        <w:rPr>
          <w:rFonts w:eastAsia="Times New Roman" w:cs="Times New Roman"/>
        </w:rPr>
        <w:t>.</w:t>
      </w:r>
      <w:r w:rsidR="00FA67FF">
        <w:rPr>
          <w:rFonts w:eastAsia="Times New Roman" w:cs="Times New Roman"/>
        </w:rPr>
        <w:t>”</w:t>
      </w:r>
      <w:r w:rsidR="00E41CB8">
        <w:rPr>
          <w:rStyle w:val="FootnoteReference"/>
          <w:rFonts w:eastAsia="Times New Roman" w:cs="Times New Roman"/>
        </w:rPr>
        <w:footnoteReference w:id="79"/>
      </w:r>
      <w:r w:rsidR="001F6BDD">
        <w:rPr>
          <w:rFonts w:eastAsia="Times New Roman" w:cs="Times New Roman"/>
        </w:rPr>
        <w:t xml:space="preserve"> Prisoners could not be coerced into providing </w:t>
      </w:r>
      <w:r w:rsidR="00FA67FF">
        <w:rPr>
          <w:rFonts w:eastAsia="Times New Roman" w:cs="Times New Roman"/>
        </w:rPr>
        <w:t>“</w:t>
      </w:r>
      <w:r w:rsidR="00FA67FF" w:rsidRPr="00FA67FF">
        <w:rPr>
          <w:rFonts w:eastAsia="Times New Roman" w:cs="Times New Roman"/>
        </w:rPr>
        <w:t>information regarding the situation in thei</w:t>
      </w:r>
      <w:r w:rsidR="00FA67FF">
        <w:rPr>
          <w:rFonts w:eastAsia="Times New Roman" w:cs="Times New Roman"/>
        </w:rPr>
        <w:t>r armed forces or their country</w:t>
      </w:r>
      <w:r w:rsidR="00E41CB8">
        <w:rPr>
          <w:rFonts w:eastAsia="Times New Roman" w:cs="Times New Roman"/>
        </w:rPr>
        <w:t>.”</w:t>
      </w:r>
      <w:r w:rsidR="001F6BDD">
        <w:rPr>
          <w:rStyle w:val="FootnoteReference"/>
          <w:rFonts w:eastAsia="Times New Roman" w:cs="Times New Roman"/>
        </w:rPr>
        <w:footnoteReference w:id="80"/>
      </w:r>
    </w:p>
    <w:p w14:paraId="1DA70CA6" w14:textId="086CAC17" w:rsidR="005C6172" w:rsidRPr="009A3D93" w:rsidRDefault="005C6172" w:rsidP="00D50528">
      <w:pPr>
        <w:ind w:left="360" w:right="360"/>
        <w:jc w:val="center"/>
        <w:rPr>
          <w:b/>
          <w:bCs/>
          <w:smallCaps/>
        </w:rPr>
      </w:pPr>
      <w:r w:rsidRPr="009A3D93">
        <w:rPr>
          <w:b/>
          <w:bCs/>
          <w:smallCaps/>
        </w:rPr>
        <w:t xml:space="preserve">3. </w:t>
      </w:r>
      <w:r w:rsidR="00FF4B4C" w:rsidRPr="009A3D93">
        <w:rPr>
          <w:b/>
          <w:bCs/>
          <w:smallCaps/>
        </w:rPr>
        <w:t xml:space="preserve">World War II and the </w:t>
      </w:r>
      <w:r w:rsidR="00DD5765" w:rsidRPr="009A3D93">
        <w:rPr>
          <w:b/>
          <w:bCs/>
          <w:smallCaps/>
        </w:rPr>
        <w:t xml:space="preserve">Application of IHL to POWs in </w:t>
      </w:r>
      <w:r w:rsidR="00FF4B4C" w:rsidRPr="009A3D93">
        <w:rPr>
          <w:b/>
          <w:bCs/>
          <w:smallCaps/>
        </w:rPr>
        <w:t>Indiana</w:t>
      </w:r>
    </w:p>
    <w:p w14:paraId="6A85395D" w14:textId="77777777" w:rsidR="00DC5636" w:rsidRPr="0082025A" w:rsidRDefault="00DC5636" w:rsidP="00A053D0">
      <w:pPr>
        <w:ind w:left="720" w:right="720"/>
        <w:jc w:val="both"/>
        <w:rPr>
          <w:b/>
        </w:rPr>
      </w:pPr>
    </w:p>
    <w:p w14:paraId="674BE66C" w14:textId="7569B52F" w:rsidR="00A73D12" w:rsidRDefault="002227E6" w:rsidP="000344A7">
      <w:pPr>
        <w:spacing w:after="160" w:line="360" w:lineRule="auto"/>
        <w:ind w:left="360" w:right="360" w:firstLine="720"/>
        <w:jc w:val="both"/>
      </w:pPr>
      <w:r w:rsidRPr="0082025A">
        <w:t xml:space="preserve"> </w:t>
      </w:r>
      <w:r w:rsidR="0031797A" w:rsidRPr="0031797A">
        <w:t>On June 4, 1943, U.S. Army headquarters in Washington reported that Camp Atterbury would serve as a permanent internment center for enemy prisoners of war.</w:t>
      </w:r>
      <w:r w:rsidR="0031797A">
        <w:rPr>
          <w:rStyle w:val="FootnoteReference"/>
        </w:rPr>
        <w:footnoteReference w:id="81"/>
      </w:r>
      <w:r w:rsidR="0031797A" w:rsidRPr="0031797A">
        <w:t xml:space="preserve"> Just over a month prior </w:t>
      </w:r>
      <w:r w:rsidR="00D52AA6">
        <w:t xml:space="preserve">to </w:t>
      </w:r>
      <w:r w:rsidR="0031797A" w:rsidRPr="0031797A">
        <w:t xml:space="preserve">this announcement, the camp had received its first contingent of 767 Italian POWs. By September, that number </w:t>
      </w:r>
      <w:r w:rsidR="0031797A">
        <w:t>had grown</w:t>
      </w:r>
      <w:r w:rsidR="0031797A" w:rsidRPr="0031797A">
        <w:t xml:space="preserve"> to 3,000.</w:t>
      </w:r>
      <w:r w:rsidR="0031797A">
        <w:rPr>
          <w:rStyle w:val="FootnoteReference"/>
        </w:rPr>
        <w:footnoteReference w:id="82"/>
      </w:r>
      <w:r w:rsidR="0031797A">
        <w:t xml:space="preserve"> </w:t>
      </w:r>
      <w:r w:rsidR="00A73D12">
        <w:t>Colonel</w:t>
      </w:r>
      <w:r w:rsidR="0031797A" w:rsidRPr="008B082D">
        <w:t xml:space="preserve"> John L. Gammell</w:t>
      </w:r>
      <w:r w:rsidR="0031797A">
        <w:t>, head of the 1537th Service Unit, served as the commanding officer.</w:t>
      </w:r>
      <w:r w:rsidR="0031797A">
        <w:rPr>
          <w:rStyle w:val="FootnoteReference"/>
        </w:rPr>
        <w:footnoteReference w:id="83"/>
      </w:r>
      <w:r w:rsidR="00D52AA6">
        <w:t xml:space="preserve"> “The camp was organized as a regiment of three battalions of five companies each,” wri</w:t>
      </w:r>
      <w:r w:rsidR="00A73D12">
        <w:t xml:space="preserve">tes historian Mary Arbuckle, </w:t>
      </w:r>
      <w:r w:rsidR="00D52AA6">
        <w:t xml:space="preserve">describing Atterbury’s </w:t>
      </w:r>
      <w:r w:rsidR="00D52AA6" w:rsidRPr="00A33904">
        <w:t>complex administrative apparatus</w:t>
      </w:r>
      <w:r w:rsidR="00D52AA6">
        <w:t>.</w:t>
      </w:r>
      <w:r w:rsidR="00D52AA6">
        <w:rPr>
          <w:rStyle w:val="FootnoteReference"/>
        </w:rPr>
        <w:footnoteReference w:id="84"/>
      </w:r>
      <w:r w:rsidR="00D52AA6">
        <w:t xml:space="preserve"> “Each battalion was composed of one escort guard company of American soldiers and four companies of prisoners. The prisoners had one regimental, three battalion, and twelve company leaders appointed from their own ranks by the camp commander.”</w:t>
      </w:r>
      <w:r w:rsidR="00D52AA6">
        <w:rPr>
          <w:rStyle w:val="FootnoteReference"/>
        </w:rPr>
        <w:footnoteReference w:id="85"/>
      </w:r>
      <w:r w:rsidR="00400D25">
        <w:t xml:space="preserve"> </w:t>
      </w:r>
    </w:p>
    <w:p w14:paraId="1E8280CC" w14:textId="65D3A23C" w:rsidR="008B082D" w:rsidRPr="008B082D" w:rsidRDefault="00400D25" w:rsidP="00400D25">
      <w:pPr>
        <w:spacing w:after="160" w:line="360" w:lineRule="auto"/>
        <w:ind w:left="360" w:right="360" w:firstLine="720"/>
        <w:jc w:val="both"/>
      </w:pPr>
      <w:r>
        <w:t xml:space="preserve">Above all, effective governance of POW operations depended on strict adherence to the rule of law. </w:t>
      </w:r>
      <w:r w:rsidR="00171033" w:rsidRPr="0082025A">
        <w:t xml:space="preserve">“Administration of the camps,” </w:t>
      </w:r>
      <w:r>
        <w:t xml:space="preserve">the </w:t>
      </w:r>
      <w:r w:rsidRPr="0082025A">
        <w:rPr>
          <w:i/>
        </w:rPr>
        <w:t>Camp Crier</w:t>
      </w:r>
      <w:r w:rsidRPr="0082025A">
        <w:t>,</w:t>
      </w:r>
      <w:r>
        <w:t xml:space="preserve"> Atterbury’s weekly newsletter, announced</w:t>
      </w:r>
      <w:r w:rsidR="00171033" w:rsidRPr="0082025A">
        <w:t xml:space="preserve"> “in addition to being governed by Army Regulations, must also meet the exacting rules set forth by the Geneva Convention.</w:t>
      </w:r>
      <w:r w:rsidR="006777CF">
        <w:t>”</w:t>
      </w:r>
      <w:r w:rsidR="006777CF">
        <w:rPr>
          <w:rStyle w:val="FootnoteReference"/>
        </w:rPr>
        <w:footnoteReference w:id="86"/>
      </w:r>
      <w:r w:rsidR="00EE31B6">
        <w:t xml:space="preserve"> </w:t>
      </w:r>
    </w:p>
    <w:p w14:paraId="308C1004" w14:textId="06C8377D" w:rsidR="00DC5636" w:rsidRPr="009A3D93" w:rsidRDefault="00F77E02" w:rsidP="003E6D1B">
      <w:pPr>
        <w:spacing w:after="160" w:line="360" w:lineRule="auto"/>
        <w:ind w:left="360" w:right="360"/>
        <w:jc w:val="center"/>
        <w:rPr>
          <w:b/>
          <w:bCs/>
          <w:smallCaps/>
        </w:rPr>
      </w:pPr>
      <w:r w:rsidRPr="009A3D93">
        <w:rPr>
          <w:b/>
          <w:bCs/>
          <w:smallCaps/>
        </w:rPr>
        <w:t xml:space="preserve">Contract </w:t>
      </w:r>
      <w:r w:rsidR="00536A6C" w:rsidRPr="009A3D93">
        <w:rPr>
          <w:b/>
          <w:bCs/>
          <w:smallCaps/>
        </w:rPr>
        <w:t>Labor</w:t>
      </w:r>
    </w:p>
    <w:p w14:paraId="5E117286" w14:textId="4319C4F7" w:rsidR="00181240" w:rsidRDefault="00536A6C" w:rsidP="003E6D1B">
      <w:pPr>
        <w:spacing w:after="160" w:line="360" w:lineRule="auto"/>
        <w:ind w:left="360" w:right="360" w:firstLine="720"/>
        <w:jc w:val="both"/>
      </w:pPr>
      <w:r>
        <w:t>T</w:t>
      </w:r>
      <w:r w:rsidR="00DC5636" w:rsidRPr="0082025A">
        <w:t>he Geneva Convention</w:t>
      </w:r>
      <w:r>
        <w:t xml:space="preserve"> </w:t>
      </w:r>
      <w:r w:rsidR="00925BD0">
        <w:t>co</w:t>
      </w:r>
      <w:r w:rsidR="001236A0">
        <w:t>nsisted of</w:t>
      </w:r>
      <w:r>
        <w:t xml:space="preserve"> </w:t>
      </w:r>
      <w:r w:rsidR="00925BD0">
        <w:t>several</w:t>
      </w:r>
      <w:r>
        <w:t xml:space="preserve"> </w:t>
      </w:r>
      <w:r w:rsidR="001236A0">
        <w:t>rules</w:t>
      </w:r>
      <w:r>
        <w:t xml:space="preserve"> </w:t>
      </w:r>
      <w:r w:rsidR="00925BD0">
        <w:t>involving</w:t>
      </w:r>
      <w:r>
        <w:t xml:space="preserve"> POW labor</w:t>
      </w:r>
      <w:r w:rsidR="00DC5636" w:rsidRPr="0082025A">
        <w:t xml:space="preserve">. </w:t>
      </w:r>
      <w:r w:rsidR="001236A0">
        <w:t xml:space="preserve">Under </w:t>
      </w:r>
      <w:r w:rsidR="00DC5636" w:rsidRPr="0082025A">
        <w:t>Article 27</w:t>
      </w:r>
      <w:r w:rsidR="001236A0">
        <w:t xml:space="preserve">, </w:t>
      </w:r>
      <w:r w:rsidR="00181240">
        <w:t xml:space="preserve">belligerent states could </w:t>
      </w:r>
      <w:r w:rsidR="001236A0" w:rsidRPr="001236A0">
        <w:t>employ</w:t>
      </w:r>
      <w:r w:rsidR="00181240">
        <w:t xml:space="preserve"> prisoners, “</w:t>
      </w:r>
      <w:r w:rsidR="00181240" w:rsidRPr="00181240">
        <w:t xml:space="preserve">other than officers </w:t>
      </w:r>
      <w:r w:rsidR="00181240">
        <w:t xml:space="preserve">and persons of equivalent status,” </w:t>
      </w:r>
      <w:r w:rsidR="001236A0" w:rsidRPr="001236A0">
        <w:t>as workmen</w:t>
      </w:r>
      <w:r w:rsidR="00181240">
        <w:t>, according to their physical fitness and</w:t>
      </w:r>
      <w:r w:rsidR="001236A0" w:rsidRPr="001236A0">
        <w:t xml:space="preserve"> ability.</w:t>
      </w:r>
      <w:r w:rsidR="002B350E">
        <w:rPr>
          <w:rStyle w:val="FootnoteReference"/>
        </w:rPr>
        <w:footnoteReference w:id="87"/>
      </w:r>
      <w:r w:rsidR="00181240">
        <w:t xml:space="preserve"> O</w:t>
      </w:r>
      <w:r w:rsidR="00DC5636" w:rsidRPr="0082025A">
        <w:t xml:space="preserve">fficers </w:t>
      </w:r>
      <w:r w:rsidR="00181240">
        <w:t>seeking</w:t>
      </w:r>
      <w:r w:rsidR="00DC5636" w:rsidRPr="0082025A">
        <w:t xml:space="preserve"> work</w:t>
      </w:r>
      <w:r w:rsidR="00181240">
        <w:t>, however, could ho</w:t>
      </w:r>
      <w:r w:rsidR="00DC5636" w:rsidRPr="0082025A">
        <w:t xml:space="preserve">ld supervisory </w:t>
      </w:r>
      <w:r w:rsidR="00181240">
        <w:t>positions,</w:t>
      </w:r>
      <w:r w:rsidR="00DC5636" w:rsidRPr="0082025A">
        <w:t xml:space="preserve"> “unless they expressly request</w:t>
      </w:r>
      <w:r w:rsidR="00181240">
        <w:t>[ed]</w:t>
      </w:r>
      <w:r w:rsidR="00DC5636" w:rsidRPr="0082025A">
        <w:t xml:space="preserve"> a remunerative occupation.”</w:t>
      </w:r>
      <w:r w:rsidR="002B350E">
        <w:rPr>
          <w:rStyle w:val="FootnoteReference"/>
        </w:rPr>
        <w:footnoteReference w:id="88"/>
      </w:r>
      <w:r w:rsidR="00DC5636" w:rsidRPr="0082025A">
        <w:t xml:space="preserve"> </w:t>
      </w:r>
      <w:r w:rsidR="00181240" w:rsidRPr="00181240">
        <w:t>Article 31 prohibited prisoner labor directly connected with wartime operations. This precluded POW employment in the “manufacture or transport of arms or munitions of any kind,” or the “transport of material destined for combatant units.”</w:t>
      </w:r>
      <w:r w:rsidR="002B350E">
        <w:rPr>
          <w:rStyle w:val="FootnoteReference"/>
        </w:rPr>
        <w:footnoteReference w:id="89"/>
      </w:r>
      <w:r w:rsidR="002B350E">
        <w:t xml:space="preserve"> Finally, a</w:t>
      </w:r>
      <w:r w:rsidR="00181240" w:rsidRPr="00181240">
        <w:t>rticle 32 further proscribed “unhealthy or dangerous work.”</w:t>
      </w:r>
      <w:r w:rsidR="002B350E">
        <w:rPr>
          <w:rStyle w:val="FootnoteReference"/>
        </w:rPr>
        <w:footnoteReference w:id="90"/>
      </w:r>
      <w:r w:rsidR="00181240" w:rsidRPr="00181240">
        <w:t xml:space="preserve"> </w:t>
      </w:r>
    </w:p>
    <w:p w14:paraId="0091F50C" w14:textId="5318B9AC" w:rsidR="004F6948" w:rsidRPr="0082025A" w:rsidRDefault="001236A0" w:rsidP="003E6D1B">
      <w:pPr>
        <w:spacing w:after="160" w:line="360" w:lineRule="auto"/>
        <w:ind w:left="360" w:right="360" w:firstLine="720"/>
        <w:jc w:val="both"/>
      </w:pPr>
      <w:r>
        <w:t xml:space="preserve">Under these provisions, prisoner </w:t>
      </w:r>
      <w:r w:rsidRPr="0082025A">
        <w:t xml:space="preserve">labor </w:t>
      </w:r>
      <w:r>
        <w:t>fell</w:t>
      </w:r>
      <w:r w:rsidRPr="0082025A">
        <w:t xml:space="preserve"> into </w:t>
      </w:r>
      <w:r>
        <w:t xml:space="preserve">one of two categories: (1) the construction and maintenance of internment camps; and (2) </w:t>
      </w:r>
      <w:r w:rsidRPr="0082025A">
        <w:t>all other types</w:t>
      </w:r>
      <w:r>
        <w:t xml:space="preserve"> of work, including programs</w:t>
      </w:r>
      <w:r w:rsidRPr="0082025A">
        <w:t xml:space="preserve"> sp</w:t>
      </w:r>
      <w:r>
        <w:t>onsored by the War Department and various state and federal agencies</w:t>
      </w:r>
      <w:r w:rsidRPr="0082025A">
        <w:t xml:space="preserve">, or </w:t>
      </w:r>
      <w:r>
        <w:t>contract work in the private s</w:t>
      </w:r>
      <w:r w:rsidRPr="0082025A">
        <w:t>ector</w:t>
      </w:r>
      <w:r>
        <w:t>, typically in agriculture or canning factories</w:t>
      </w:r>
      <w:r w:rsidRPr="0082025A">
        <w:t xml:space="preserve">. </w:t>
      </w:r>
    </w:p>
    <w:p w14:paraId="401191F2" w14:textId="2168F8AD" w:rsidR="00F77E02" w:rsidRDefault="00F77E02" w:rsidP="003E6D1B">
      <w:pPr>
        <w:spacing w:after="160" w:line="360" w:lineRule="auto"/>
        <w:ind w:left="360" w:right="360" w:firstLine="720"/>
        <w:jc w:val="both"/>
      </w:pPr>
      <w:r w:rsidRPr="004464B4">
        <w:t>Contract labor in the private sector proved enormously successful, due to the critical labor shortage throughout the United States, particularly in the agricultural industry.</w:t>
      </w:r>
      <w:r w:rsidR="004D16EE" w:rsidRPr="004464B4">
        <w:t xml:space="preserve"> On </w:t>
      </w:r>
      <w:r w:rsidR="00C43124" w:rsidRPr="004464B4">
        <w:t>May 19</w:t>
      </w:r>
      <w:r w:rsidR="004D16EE" w:rsidRPr="004464B4">
        <w:t xml:space="preserve">, 1943, </w:t>
      </w:r>
      <w:r w:rsidR="00020451" w:rsidRPr="004464B4">
        <w:t xml:space="preserve">Col. Welton Modisette, post commander </w:t>
      </w:r>
      <w:r w:rsidR="004D16EE" w:rsidRPr="004464B4">
        <w:t xml:space="preserve">at Camp Atterbury announced that Italian POWs </w:t>
      </w:r>
      <w:r w:rsidR="00020451" w:rsidRPr="004464B4">
        <w:t>were</w:t>
      </w:r>
      <w:r w:rsidR="004D16EE" w:rsidRPr="004464B4">
        <w:t xml:space="preserve"> </w:t>
      </w:r>
      <w:r w:rsidR="00020451" w:rsidRPr="004464B4">
        <w:t>available for agricultural labor</w:t>
      </w:r>
      <w:r w:rsidR="004D16EE" w:rsidRPr="004464B4">
        <w:t xml:space="preserve"> within a </w:t>
      </w:r>
      <w:r w:rsidR="00020451" w:rsidRPr="004464B4">
        <w:t xml:space="preserve">twenty-five mile </w:t>
      </w:r>
      <w:r w:rsidR="004D16EE" w:rsidRPr="004464B4">
        <w:t xml:space="preserve">radius of </w:t>
      </w:r>
      <w:r w:rsidR="00020451" w:rsidRPr="004464B4">
        <w:t>the camp.</w:t>
      </w:r>
      <w:r w:rsidR="004D16EE" w:rsidRPr="004464B4">
        <w:rPr>
          <w:rStyle w:val="FootnoteReference"/>
        </w:rPr>
        <w:footnoteReference w:id="91"/>
      </w:r>
      <w:r w:rsidR="00A63074" w:rsidRPr="004464B4">
        <w:t xml:space="preserve"> </w:t>
      </w:r>
      <w:r w:rsidR="00C33CEC" w:rsidRPr="004464B4">
        <w:t>P</w:t>
      </w:r>
      <w:r w:rsidR="00BF6930" w:rsidRPr="004464B4">
        <w:t>otential employer</w:t>
      </w:r>
      <w:r w:rsidR="00C33CEC" w:rsidRPr="004464B4">
        <w:t>s were to send</w:t>
      </w:r>
      <w:r w:rsidR="00BF6930" w:rsidRPr="004464B4">
        <w:t xml:space="preserve"> requests for POW labor to the</w:t>
      </w:r>
      <w:r w:rsidRPr="004464B4">
        <w:t xml:space="preserve"> local office of the War Manpower Commission (chaired by former Indiana Governor Paul V. McNutt). </w:t>
      </w:r>
      <w:r w:rsidR="00BF6930" w:rsidRPr="004464B4">
        <w:t xml:space="preserve">After </w:t>
      </w:r>
      <w:r w:rsidR="00020451" w:rsidRPr="004464B4">
        <w:t xml:space="preserve">confirming </w:t>
      </w:r>
      <w:r w:rsidR="00BF6930" w:rsidRPr="004464B4">
        <w:t>the unavailability of civilian labor</w:t>
      </w:r>
      <w:r w:rsidRPr="004464B4">
        <w:t xml:space="preserve">, the WMC </w:t>
      </w:r>
      <w:r w:rsidR="00BF6930" w:rsidRPr="004464B4">
        <w:t>issued</w:t>
      </w:r>
      <w:r w:rsidRPr="004464B4">
        <w:t xml:space="preserve"> a certification of need</w:t>
      </w:r>
      <w:r w:rsidR="00BF6930" w:rsidRPr="004464B4">
        <w:t xml:space="preserve"> to a camp contract officer</w:t>
      </w:r>
      <w:r w:rsidR="00BF6930">
        <w:t>, who in turn drafted</w:t>
      </w:r>
      <w:r w:rsidRPr="0082025A">
        <w:t xml:space="preserve"> an agreement between the government and the </w:t>
      </w:r>
      <w:r w:rsidR="00BF6930">
        <w:t>employer</w:t>
      </w:r>
      <w:r w:rsidRPr="0082025A">
        <w:t>.</w:t>
      </w:r>
      <w:r w:rsidR="00020451">
        <w:rPr>
          <w:rStyle w:val="FootnoteReference"/>
        </w:rPr>
        <w:footnoteReference w:id="92"/>
      </w:r>
      <w:r w:rsidRPr="0082025A">
        <w:t xml:space="preserve"> </w:t>
      </w:r>
    </w:p>
    <w:p w14:paraId="140F8006" w14:textId="36CAE968" w:rsidR="00F93A8C" w:rsidRPr="0082025A" w:rsidRDefault="00F77E02" w:rsidP="003E6D1B">
      <w:pPr>
        <w:spacing w:after="160" w:line="360" w:lineRule="auto"/>
        <w:ind w:left="360" w:right="360" w:firstLine="720"/>
        <w:jc w:val="both"/>
      </w:pPr>
      <w:r>
        <w:t xml:space="preserve">A </w:t>
      </w:r>
      <w:r w:rsidRPr="00A50CE4">
        <w:t>typical contract</w:t>
      </w:r>
      <w:r>
        <w:t xml:space="preserve"> for POW labor</w:t>
      </w:r>
      <w:r w:rsidR="004F6948" w:rsidRPr="0082025A">
        <w:t xml:space="preserve"> </w:t>
      </w:r>
      <w:r w:rsidR="00BF6930" w:rsidRPr="0082025A">
        <w:t xml:space="preserve">stipulated the type and amount of work to be done, the </w:t>
      </w:r>
      <w:r w:rsidR="00BF6930" w:rsidRPr="004464B4">
        <w:t xml:space="preserve">location of the farm or factory, an estimate of working hours, </w:t>
      </w:r>
      <w:r w:rsidR="00A71303" w:rsidRPr="004464B4">
        <w:t xml:space="preserve">and </w:t>
      </w:r>
      <w:r w:rsidR="00BF6930" w:rsidRPr="004464B4">
        <w:t>the amount of pay</w:t>
      </w:r>
      <w:r w:rsidR="004F6948" w:rsidRPr="004464B4">
        <w:t>.</w:t>
      </w:r>
      <w:r w:rsidR="00A71303" w:rsidRPr="004464B4">
        <w:rPr>
          <w:rStyle w:val="FootnoteReference"/>
        </w:rPr>
        <w:footnoteReference w:id="93"/>
      </w:r>
      <w:r w:rsidR="004F6948" w:rsidRPr="0082025A">
        <w:t xml:space="preserve"> The War</w:t>
      </w:r>
      <w:r w:rsidR="007B0A69" w:rsidRPr="0082025A">
        <w:t xml:space="preserve"> </w:t>
      </w:r>
      <w:r w:rsidR="004F6948" w:rsidRPr="0082025A">
        <w:t xml:space="preserve">Department </w:t>
      </w:r>
      <w:r w:rsidR="00F16C4D">
        <w:t>was “responsible for the supervision of guarding, rationing, clothing, quartering, transporting, and providing medical attention” for all prisoners</w:t>
      </w:r>
      <w:r w:rsidR="00F93A8C">
        <w:t>.</w:t>
      </w:r>
      <w:r w:rsidR="00A71303">
        <w:rPr>
          <w:rStyle w:val="FootnoteReference"/>
        </w:rPr>
        <w:footnoteReference w:id="94"/>
      </w:r>
      <w:r w:rsidR="00F16C4D">
        <w:t xml:space="preserve"> However, “the cost of </w:t>
      </w:r>
      <w:r w:rsidR="00316039">
        <w:t>rationing and transporting” was “borne by the Contractor.”</w:t>
      </w:r>
      <w:r w:rsidR="00A71303">
        <w:rPr>
          <w:rStyle w:val="FootnoteReference"/>
        </w:rPr>
        <w:footnoteReference w:id="95"/>
      </w:r>
      <w:r w:rsidR="00F16C4D">
        <w:t xml:space="preserve"> </w:t>
      </w:r>
      <w:r w:rsidR="00F93A8C">
        <w:t xml:space="preserve"> T</w:t>
      </w:r>
      <w:r w:rsidR="004F6948" w:rsidRPr="0082025A">
        <w:t xml:space="preserve">he </w:t>
      </w:r>
      <w:r w:rsidR="00316039">
        <w:t xml:space="preserve">agreement further required the </w:t>
      </w:r>
      <w:r w:rsidR="004F6948" w:rsidRPr="0082025A">
        <w:t xml:space="preserve">employer </w:t>
      </w:r>
      <w:r w:rsidR="00A857BD">
        <w:t xml:space="preserve">to supervise prisoner labor; maintain “clean and sanitary” premises; </w:t>
      </w:r>
      <w:r w:rsidR="00316039">
        <w:t xml:space="preserve">“furnish the materials, equipment, tools and other articles or facilities necessary in the performance </w:t>
      </w:r>
      <w:r w:rsidR="00A857BD">
        <w:t>of the work;</w:t>
      </w:r>
      <w:r w:rsidR="00316039">
        <w:t>” and “comply with all applicable Workmen’s Compensation Laws.”</w:t>
      </w:r>
      <w:r w:rsidR="00835CC4">
        <w:rPr>
          <w:rStyle w:val="FootnoteReference"/>
        </w:rPr>
        <w:footnoteReference w:id="96"/>
      </w:r>
      <w:r w:rsidR="00316039">
        <w:t xml:space="preserve"> </w:t>
      </w:r>
      <w:r w:rsidR="00835CC4">
        <w:t>Governing law provisions expressly referenced the “requirements and prohibitions of the Geneva Convention of July 27, 1929</w:t>
      </w:r>
      <w:r w:rsidR="0084543A">
        <w:t>.”</w:t>
      </w:r>
      <w:r w:rsidR="0084543A">
        <w:rPr>
          <w:rStyle w:val="FootnoteReference"/>
        </w:rPr>
        <w:footnoteReference w:id="97"/>
      </w:r>
      <w:r w:rsidR="00835CC4">
        <w:t xml:space="preserve"> </w:t>
      </w:r>
      <w:r w:rsidR="00F737F4">
        <w:t>Standard contracts</w:t>
      </w:r>
      <w:r w:rsidR="00316039">
        <w:t xml:space="preserve"> also contained a dispute resolution clause, specifying that any disagreement be “decided by the Contracting Officer.”</w:t>
      </w:r>
      <w:r w:rsidR="0084543A">
        <w:rPr>
          <w:rStyle w:val="FootnoteReference"/>
        </w:rPr>
        <w:footnoteReference w:id="98"/>
      </w:r>
      <w:r w:rsidR="00770C73">
        <w:t xml:space="preserve"> Contractors could appeal these decisions “in writing to the Secretary of War,” whose written decision would be “final and conclusive upon the parties.”</w:t>
      </w:r>
      <w:r w:rsidR="0084543A">
        <w:rPr>
          <w:rStyle w:val="FootnoteReference"/>
        </w:rPr>
        <w:footnoteReference w:id="99"/>
      </w:r>
    </w:p>
    <w:p w14:paraId="615A227F" w14:textId="3A32FF13" w:rsidR="00DC5636" w:rsidRDefault="00770C73" w:rsidP="003E6D1B">
      <w:pPr>
        <w:spacing w:after="160" w:line="360" w:lineRule="auto"/>
        <w:ind w:left="360" w:right="360" w:firstLine="720"/>
        <w:jc w:val="both"/>
      </w:pPr>
      <w:r>
        <w:t>A schedule to the contract specified the amount and manner of payment</w:t>
      </w:r>
      <w:r w:rsidR="00A857BD">
        <w:t xml:space="preserve"> to the government</w:t>
      </w:r>
      <w:r>
        <w:t>.</w:t>
      </w:r>
      <w:r w:rsidR="0084543A">
        <w:rPr>
          <w:rStyle w:val="FootnoteReference"/>
        </w:rPr>
        <w:footnoteReference w:id="100"/>
      </w:r>
      <w:r>
        <w:t xml:space="preserve"> Prisoner</w:t>
      </w:r>
      <w:r w:rsidR="00F93A8C">
        <w:t xml:space="preserve"> </w:t>
      </w:r>
      <w:r>
        <w:t>earnings reflected</w:t>
      </w:r>
      <w:r w:rsidR="00E47B24" w:rsidRPr="0082025A">
        <w:t xml:space="preserve"> the prevailing local wage; however, </w:t>
      </w:r>
      <w:r w:rsidR="00F93A8C">
        <w:t>they</w:t>
      </w:r>
      <w:r w:rsidR="00A857BD">
        <w:t xml:space="preserve"> kept only an</w:t>
      </w:r>
      <w:r w:rsidR="00E47B24" w:rsidRPr="0082025A">
        <w:t xml:space="preserve"> </w:t>
      </w:r>
      <w:r w:rsidR="00F93A8C">
        <w:t>80-</w:t>
      </w:r>
      <w:r w:rsidR="00E47B24" w:rsidRPr="0082025A">
        <w:t xml:space="preserve">cent </w:t>
      </w:r>
      <w:r w:rsidR="00F93A8C">
        <w:t xml:space="preserve">per diem </w:t>
      </w:r>
      <w:r w:rsidR="00E47B24" w:rsidRPr="0082025A">
        <w:t xml:space="preserve">allowance (in addition to a flat allowance of ten cents a day </w:t>
      </w:r>
      <w:r w:rsidR="00A857BD">
        <w:t>from the U.S. Government)</w:t>
      </w:r>
      <w:r w:rsidR="00E47B24" w:rsidRPr="0082025A">
        <w:t xml:space="preserve"> up to $13 a month in coupons </w:t>
      </w:r>
      <w:r w:rsidR="00F93A8C">
        <w:t>exchangeable at camp canteens</w:t>
      </w:r>
      <w:r w:rsidR="002A2684">
        <w:t xml:space="preserve"> where they could purchase sundry goods</w:t>
      </w:r>
      <w:r w:rsidR="00F93A8C">
        <w:t>.</w:t>
      </w:r>
      <w:r w:rsidR="0084543A">
        <w:rPr>
          <w:rStyle w:val="FootnoteReference"/>
        </w:rPr>
        <w:footnoteReference w:id="101"/>
      </w:r>
      <w:r w:rsidR="00F93A8C">
        <w:t xml:space="preserve"> Any additional amount earned </w:t>
      </w:r>
      <w:r w:rsidR="00E47B24" w:rsidRPr="0082025A">
        <w:t>was kept in</w:t>
      </w:r>
      <w:r w:rsidR="00F93A8C">
        <w:t xml:space="preserve"> a</w:t>
      </w:r>
      <w:r w:rsidR="00E47B24" w:rsidRPr="0082025A">
        <w:t xml:space="preserve"> trust </w:t>
      </w:r>
      <w:r w:rsidR="00A857BD">
        <w:t xml:space="preserve">account </w:t>
      </w:r>
      <w:r w:rsidR="00F93A8C">
        <w:t xml:space="preserve">until </w:t>
      </w:r>
      <w:r w:rsidR="00A857BD">
        <w:t xml:space="preserve">prisoner </w:t>
      </w:r>
      <w:r w:rsidR="00F93A8C">
        <w:t>repatriation</w:t>
      </w:r>
      <w:r w:rsidR="00E47B24" w:rsidRPr="0082025A">
        <w:t>.</w:t>
      </w:r>
      <w:r w:rsidR="00E47B24" w:rsidRPr="0082025A">
        <w:rPr>
          <w:rStyle w:val="FootnoteReference"/>
        </w:rPr>
        <w:footnoteReference w:id="102"/>
      </w:r>
      <w:r w:rsidR="00E47B24" w:rsidRPr="0082025A">
        <w:t xml:space="preserve"> </w:t>
      </w:r>
    </w:p>
    <w:p w14:paraId="1ED7016B" w14:textId="20EC2D1D" w:rsidR="007B256C" w:rsidRPr="003E6D1B" w:rsidRDefault="00234736" w:rsidP="00067771">
      <w:pPr>
        <w:spacing w:after="160" w:line="360" w:lineRule="auto"/>
        <w:ind w:left="360" w:right="360" w:firstLine="720"/>
        <w:jc w:val="both"/>
      </w:pPr>
      <w:r w:rsidRPr="00234736">
        <w:t>Despite the economic benefits of POW labor, American labor unions often protested that it inhibited opportunities for civilians.</w:t>
      </w:r>
      <w:r w:rsidR="00E32043">
        <w:rPr>
          <w:rStyle w:val="FootnoteReference"/>
        </w:rPr>
        <w:footnoteReference w:id="103"/>
      </w:r>
      <w:r w:rsidRPr="00234736">
        <w:t xml:space="preserve"> Aware of these concerns, the War Manpower Commission certified that POWs not only received the local prevailing wage, but also had the same working conditions as civilian labor.</w:t>
      </w:r>
      <w:r>
        <w:rPr>
          <w:rStyle w:val="FootnoteReference"/>
        </w:rPr>
        <w:footnoteReference w:id="104"/>
      </w:r>
      <w:r w:rsidRPr="00234736">
        <w:t xml:space="preserve"> Occasionally, employers ran afoul of these requirements. Morgan Packing Company, located in Austin, Indiana, employed over 1,500 German and Italian prisoners from 1944 to 1946.</w:t>
      </w:r>
      <w:r>
        <w:rPr>
          <w:rStyle w:val="FootnoteReference"/>
        </w:rPr>
        <w:footnoteReference w:id="105"/>
      </w:r>
      <w:r w:rsidRPr="00234736">
        <w:t xml:space="preserve"> Morgan’s contract called for the payment of 40 cents per hour, plus overtime, and covered only common, or unskilled, labor at its food canning facility.</w:t>
      </w:r>
      <w:r>
        <w:rPr>
          <w:rStyle w:val="FootnoteReference"/>
        </w:rPr>
        <w:footnoteReference w:id="106"/>
      </w:r>
      <w:r w:rsidRPr="00234736">
        <w:t xml:space="preserve"> However, during an inspection of the Morgan plant in September of 1945, WMC officers discovered approximately twenty-five POWs engaged in new construction, bricklaying, and scaffolding assembly. An additional forty prisoners were mixing concrete and paving driveways and parking areas. Inspection officers quickly suspended these operations, informing the company that it would first need to obtain a certification of need for skilled labor.</w:t>
      </w:r>
      <w:r>
        <w:rPr>
          <w:rStyle w:val="FootnoteReference"/>
        </w:rPr>
        <w:footnoteReference w:id="107"/>
      </w:r>
    </w:p>
    <w:p w14:paraId="5CDE33F8" w14:textId="537CAC0D" w:rsidR="003E6D1B" w:rsidRPr="009A3D93" w:rsidRDefault="009B66E8" w:rsidP="003E6D1B">
      <w:pPr>
        <w:spacing w:after="160" w:line="360" w:lineRule="auto"/>
        <w:ind w:left="360" w:right="360"/>
        <w:jc w:val="center"/>
        <w:rPr>
          <w:b/>
          <w:bCs/>
          <w:smallCaps/>
        </w:rPr>
      </w:pPr>
      <w:r w:rsidRPr="009A3D93">
        <w:rPr>
          <w:b/>
          <w:bCs/>
          <w:smallCaps/>
        </w:rPr>
        <w:t>Security</w:t>
      </w:r>
      <w:r w:rsidR="00DC5636" w:rsidRPr="009A3D93">
        <w:rPr>
          <w:b/>
          <w:bCs/>
          <w:smallCaps/>
        </w:rPr>
        <w:t xml:space="preserve"> and Discipline</w:t>
      </w:r>
    </w:p>
    <w:p w14:paraId="2301E3D4" w14:textId="56921A54" w:rsidR="00111CFB" w:rsidRDefault="00C57234" w:rsidP="003E6D1B">
      <w:pPr>
        <w:spacing w:after="160" w:line="360" w:lineRule="auto"/>
        <w:ind w:left="360" w:right="360" w:firstLine="720"/>
        <w:jc w:val="both"/>
      </w:pPr>
      <w:r w:rsidRPr="00053E58">
        <w:t>The Geneva Convention</w:t>
      </w:r>
      <w:r w:rsidR="00234736">
        <w:t>s</w:t>
      </w:r>
      <w:r>
        <w:t xml:space="preserve"> </w:t>
      </w:r>
      <w:r w:rsidR="00994DF1">
        <w:t>provided little guidance on</w:t>
      </w:r>
      <w:r>
        <w:t xml:space="preserve"> </w:t>
      </w:r>
      <w:r w:rsidRPr="0082025A">
        <w:t xml:space="preserve">dealing with </w:t>
      </w:r>
      <w:r w:rsidR="00994DF1">
        <w:t xml:space="preserve">insubordinate </w:t>
      </w:r>
      <w:r w:rsidRPr="0082025A">
        <w:t xml:space="preserve">prisoners for </w:t>
      </w:r>
      <w:r>
        <w:t xml:space="preserve">failing to work. Article 32 </w:t>
      </w:r>
      <w:r w:rsidR="00994DF1">
        <w:t xml:space="preserve">simply stated that </w:t>
      </w:r>
      <w:r w:rsidRPr="0082025A">
        <w:t>“</w:t>
      </w:r>
      <w:r w:rsidR="00994DF1">
        <w:t>[c]</w:t>
      </w:r>
      <w:r w:rsidR="00994DF1" w:rsidRPr="00994DF1">
        <w:t>onditions of work shall not be rendered more a</w:t>
      </w:r>
      <w:r w:rsidR="00994DF1">
        <w:t>rduous by disciplinary measures</w:t>
      </w:r>
      <w:r w:rsidRPr="0082025A">
        <w:t>.”</w:t>
      </w:r>
      <w:r w:rsidR="005219E0">
        <w:rPr>
          <w:rStyle w:val="FootnoteReference"/>
        </w:rPr>
        <w:footnoteReference w:id="108"/>
      </w:r>
      <w:r w:rsidRPr="0082025A">
        <w:t xml:space="preserve"> </w:t>
      </w:r>
      <w:r w:rsidR="007769C6">
        <w:t>Article 55</w:t>
      </w:r>
      <w:r w:rsidR="007F3C27">
        <w:t>, in turn,</w:t>
      </w:r>
      <w:r w:rsidR="007769C6">
        <w:t xml:space="preserve"> permitted restrictions on food “</w:t>
      </w:r>
      <w:r w:rsidR="007769C6" w:rsidRPr="007769C6">
        <w:t>to prisoners of war undergoing disciplinary punishment.</w:t>
      </w:r>
      <w:r w:rsidR="007769C6">
        <w:t>”</w:t>
      </w:r>
      <w:r w:rsidR="005219E0">
        <w:rPr>
          <w:rStyle w:val="FootnoteReference"/>
        </w:rPr>
        <w:footnoteReference w:id="109"/>
      </w:r>
      <w:r w:rsidR="007769C6">
        <w:t xml:space="preserve"> </w:t>
      </w:r>
      <w:r w:rsidRPr="0082025A">
        <w:t>T</w:t>
      </w:r>
      <w:r w:rsidR="000406DE">
        <w:t>o help clarify</w:t>
      </w:r>
      <w:r w:rsidR="007F3C27">
        <w:t xml:space="preserve"> these </w:t>
      </w:r>
      <w:r w:rsidR="007F3C27" w:rsidRPr="004464B4">
        <w:t>rules</w:t>
      </w:r>
      <w:r w:rsidR="000406DE" w:rsidRPr="004464B4">
        <w:t>, t</w:t>
      </w:r>
      <w:r w:rsidRPr="004464B4">
        <w:t xml:space="preserve">he War Department </w:t>
      </w:r>
      <w:r w:rsidR="00B42148" w:rsidRPr="004464B4">
        <w:t>issued</w:t>
      </w:r>
      <w:r w:rsidRPr="004464B4">
        <w:t xml:space="preserve"> </w:t>
      </w:r>
      <w:r w:rsidR="000406DE" w:rsidRPr="004464B4">
        <w:t>guidelines</w:t>
      </w:r>
      <w:r w:rsidRPr="004464B4">
        <w:t xml:space="preserve"> </w:t>
      </w:r>
      <w:r w:rsidR="000406DE" w:rsidRPr="004464B4">
        <w:t>on “Administrative</w:t>
      </w:r>
      <w:r w:rsidR="000406DE" w:rsidRPr="00053E58">
        <w:t xml:space="preserve"> and Disciplinary Measures</w:t>
      </w:r>
      <w:r w:rsidR="000406DE">
        <w:t>” i</w:t>
      </w:r>
      <w:r w:rsidRPr="0082025A">
        <w:t xml:space="preserve">n October </w:t>
      </w:r>
      <w:r w:rsidR="000406DE">
        <w:t>of 1943.</w:t>
      </w:r>
      <w:r w:rsidR="005219E0">
        <w:rPr>
          <w:rStyle w:val="FootnoteReference"/>
        </w:rPr>
        <w:footnoteReference w:id="110"/>
      </w:r>
      <w:r w:rsidRPr="0082025A">
        <w:t xml:space="preserve"> </w:t>
      </w:r>
      <w:r w:rsidR="000406DE">
        <w:t>For the commanding officer to effectively “utilize and control prisoner of war labor and to administer and maintain his camp in a satisfactory manner,” the guidelines encouraged “preventive remedies wherever possible.”</w:t>
      </w:r>
      <w:r w:rsidR="005219E0">
        <w:rPr>
          <w:rStyle w:val="FootnoteReference"/>
        </w:rPr>
        <w:footnoteReference w:id="111"/>
      </w:r>
      <w:r w:rsidR="000406DE">
        <w:t xml:space="preserve"> </w:t>
      </w:r>
      <w:r w:rsidRPr="0082025A">
        <w:t xml:space="preserve">Permissible </w:t>
      </w:r>
      <w:r w:rsidR="007769C6">
        <w:t>administrative measures included verbal reprimands;</w:t>
      </w:r>
      <w:r w:rsidRPr="0082025A">
        <w:t xml:space="preserve"> </w:t>
      </w:r>
      <w:r w:rsidR="007769C6">
        <w:t>withholding of certain privileges</w:t>
      </w:r>
      <w:r w:rsidRPr="0082025A">
        <w:t>,</w:t>
      </w:r>
      <w:r w:rsidR="007769C6">
        <w:t xml:space="preserve"> “including restrictions on diet;” and “[d]iscontinuance</w:t>
      </w:r>
      <w:r w:rsidRPr="0082025A">
        <w:t xml:space="preserve"> </w:t>
      </w:r>
      <w:r w:rsidR="007769C6">
        <w:t>of pay and allowances.”</w:t>
      </w:r>
      <w:r w:rsidR="005219E0">
        <w:rPr>
          <w:rStyle w:val="FootnoteReference"/>
        </w:rPr>
        <w:footnoteReference w:id="112"/>
      </w:r>
      <w:r w:rsidR="007769C6">
        <w:t xml:space="preserve"> </w:t>
      </w:r>
    </w:p>
    <w:p w14:paraId="3F084641" w14:textId="40ACBA23" w:rsidR="00087594" w:rsidRDefault="00087594" w:rsidP="00087594">
      <w:pPr>
        <w:spacing w:after="160" w:line="360" w:lineRule="auto"/>
        <w:ind w:left="360" w:right="360" w:firstLine="720"/>
        <w:jc w:val="both"/>
      </w:pPr>
      <w:r w:rsidRPr="0082025A">
        <w:t xml:space="preserve">According to a </w:t>
      </w:r>
      <w:r w:rsidRPr="006F649C">
        <w:t xml:space="preserve">report from the House Committee on Military Affairs </w:t>
      </w:r>
      <w:r>
        <w:t>in 1944, there had</w:t>
      </w:r>
      <w:r w:rsidRPr="0082025A">
        <w:t xml:space="preserve"> been </w:t>
      </w:r>
      <w:r>
        <w:t>“</w:t>
      </w:r>
      <w:r w:rsidRPr="0082025A">
        <w:t xml:space="preserve">no courts martial of prisoners at Camp Atterbury, but </w:t>
      </w:r>
      <w:r>
        <w:t>141 Italians and 19 Germans ha[d]</w:t>
      </w:r>
      <w:r w:rsidRPr="0082025A">
        <w:t xml:space="preserve"> been summarily disciplined for minor infractions of the rules and regulations.</w:t>
      </w:r>
      <w:r>
        <w:t>”</w:t>
      </w:r>
      <w:r>
        <w:rPr>
          <w:rStyle w:val="FootnoteReference"/>
        </w:rPr>
        <w:footnoteReference w:id="113"/>
      </w:r>
      <w:r>
        <w:t xml:space="preserve"> </w:t>
      </w:r>
    </w:p>
    <w:p w14:paraId="5BF7B81B" w14:textId="327FC368" w:rsidR="00E80783" w:rsidRDefault="00111CFB" w:rsidP="003E6D1B">
      <w:pPr>
        <w:spacing w:after="160" w:line="360" w:lineRule="auto"/>
        <w:ind w:left="360" w:right="360" w:firstLine="720"/>
        <w:jc w:val="both"/>
      </w:pPr>
      <w:r>
        <w:t xml:space="preserve">In September of </w:t>
      </w:r>
      <w:r w:rsidR="00087594">
        <w:t>that year</w:t>
      </w:r>
      <w:r>
        <w:t xml:space="preserve">, </w:t>
      </w:r>
      <w:r w:rsidR="00E817C1">
        <w:t>Ge</w:t>
      </w:r>
      <w:r w:rsidR="00C57234">
        <w:t>rman prisoners at Camp Windfall—“</w:t>
      </w:r>
      <w:r w:rsidR="00E817C1">
        <w:t xml:space="preserve">[o]ne thousand” of them, according to the </w:t>
      </w:r>
      <w:r w:rsidR="00E817C1" w:rsidRPr="00C57234">
        <w:rPr>
          <w:i/>
        </w:rPr>
        <w:t>Tipton Tribune</w:t>
      </w:r>
      <w:r w:rsidR="00C57234">
        <w:t>—</w:t>
      </w:r>
      <w:r w:rsidR="00E817C1">
        <w:t>were “placed on bread and water rations . . . following their refusal to work in county canning plants and tomato fields.”</w:t>
      </w:r>
      <w:r w:rsidR="00E817C1">
        <w:rPr>
          <w:rStyle w:val="FootnoteReference"/>
        </w:rPr>
        <w:footnoteReference w:id="114"/>
      </w:r>
      <w:r w:rsidR="00A36D63">
        <w:t xml:space="preserve"> And at Fort Benjamin Harrison, “[f]</w:t>
      </w:r>
      <w:r w:rsidR="00A36D63" w:rsidRPr="0082025A">
        <w:t xml:space="preserve">ifteen others </w:t>
      </w:r>
      <w:r w:rsidR="00A36D63">
        <w:t>[were]</w:t>
      </w:r>
      <w:r w:rsidR="00A36D63" w:rsidRPr="0082025A">
        <w:t xml:space="preserve"> summarily disciplined, nine for refusing to perform work assigned them in connection with sewage disposal, and six for arranging two-toned shingles on the roof of the Billings General Hospital in the form of a swastika.”</w:t>
      </w:r>
      <w:r w:rsidR="00A36D63" w:rsidRPr="0082025A">
        <w:rPr>
          <w:rStyle w:val="FootnoteReference"/>
        </w:rPr>
        <w:footnoteReference w:id="115"/>
      </w:r>
      <w:r w:rsidR="00A36D63">
        <w:t xml:space="preserve"> Historian Arnold Krammer notes that the “a</w:t>
      </w:r>
      <w:r w:rsidR="00A36D63" w:rsidRPr="0082025A">
        <w:t>uthorities [later] ordered the six men to return to the roof and rearrange the shingles, after which</w:t>
      </w:r>
      <w:r w:rsidR="00A36D63">
        <w:t xml:space="preserve"> . . .</w:t>
      </w:r>
      <w:r w:rsidR="00A36D63" w:rsidRPr="0082025A">
        <w:t xml:space="preserve"> they were all placed on a diet of bread and water for a period of 14 days.”</w:t>
      </w:r>
      <w:r w:rsidR="00A36D63" w:rsidRPr="0082025A">
        <w:rPr>
          <w:rStyle w:val="FootnoteReference"/>
        </w:rPr>
        <w:footnoteReference w:id="116"/>
      </w:r>
    </w:p>
    <w:p w14:paraId="5F2DBFBC" w14:textId="20C09B1B" w:rsidR="00A36D63" w:rsidRDefault="008E5E28" w:rsidP="003E6D1B">
      <w:pPr>
        <w:spacing w:after="160" w:line="360" w:lineRule="auto"/>
        <w:ind w:left="360" w:right="360" w:firstLine="720"/>
        <w:jc w:val="both"/>
      </w:pPr>
      <w:r w:rsidRPr="004464B4">
        <w:t>I</w:t>
      </w:r>
      <w:r w:rsidR="00410206" w:rsidRPr="004464B4">
        <w:t>n an attempt to mitigate camp violence,</w:t>
      </w:r>
      <w:r w:rsidR="00375573" w:rsidRPr="004464B4">
        <w:t xml:space="preserve"> </w:t>
      </w:r>
      <w:r w:rsidRPr="004464B4">
        <w:t xml:space="preserve">military officials </w:t>
      </w:r>
      <w:r w:rsidR="00375573" w:rsidRPr="004464B4">
        <w:t>segregate</w:t>
      </w:r>
      <w:r w:rsidR="00410206" w:rsidRPr="004464B4">
        <w:t>d</w:t>
      </w:r>
      <w:r w:rsidR="00375573" w:rsidRPr="004464B4">
        <w:t xml:space="preserve"> the most </w:t>
      </w:r>
      <w:r w:rsidR="00410206" w:rsidRPr="004464B4">
        <w:t xml:space="preserve">hardcore of Nazi and Fascist sympathizers from the general POW population. </w:t>
      </w:r>
      <w:r w:rsidRPr="004464B4">
        <w:t xml:space="preserve">Most prisoners, however, kept quiet as </w:t>
      </w:r>
      <w:r w:rsidR="0021799D" w:rsidRPr="004464B4">
        <w:t>to their ideological views. A</w:t>
      </w:r>
      <w:r w:rsidR="00410206" w:rsidRPr="004464B4">
        <w:t xml:space="preserve">nti-Nazi prisoners </w:t>
      </w:r>
      <w:r w:rsidRPr="004464B4">
        <w:t xml:space="preserve">feared </w:t>
      </w:r>
      <w:r w:rsidR="00363D73" w:rsidRPr="004464B4">
        <w:t>trial by kangaroo court or</w:t>
      </w:r>
      <w:r w:rsidRPr="004464B4">
        <w:t>,</w:t>
      </w:r>
      <w:r w:rsidR="00363D73" w:rsidRPr="004464B4">
        <w:t xml:space="preserve"> </w:t>
      </w:r>
      <w:r w:rsidR="0021799D" w:rsidRPr="004464B4">
        <w:t>with rumors of German spies keeping lists of traitors</w:t>
      </w:r>
      <w:r w:rsidRPr="004464B4">
        <w:t>,</w:t>
      </w:r>
      <w:r w:rsidR="00363D73" w:rsidRPr="004464B4">
        <w:t xml:space="preserve"> reprisals against family members back home.</w:t>
      </w:r>
      <w:r w:rsidR="00363D73" w:rsidRPr="004464B4">
        <w:rPr>
          <w:rStyle w:val="FootnoteReference"/>
        </w:rPr>
        <w:footnoteReference w:id="117"/>
      </w:r>
      <w:r w:rsidR="00363D73" w:rsidRPr="004464B4">
        <w:t xml:space="preserve"> </w:t>
      </w:r>
      <w:r w:rsidR="004464B4" w:rsidRPr="004464B4">
        <w:t>Although no murders appear to have taken place at any of Indiana’s POW camps</w:t>
      </w:r>
      <w:r w:rsidRPr="004464B4">
        <w:t xml:space="preserve">, political volatility and ideological extremism occasionally </w:t>
      </w:r>
      <w:r w:rsidR="007065DA" w:rsidRPr="004464B4">
        <w:t>led to violence and disruption</w:t>
      </w:r>
      <w:r w:rsidRPr="004464B4">
        <w:t xml:space="preserve"> </w:t>
      </w:r>
      <w:r w:rsidR="0021799D" w:rsidRPr="004464B4">
        <w:t xml:space="preserve">of </w:t>
      </w:r>
      <w:r w:rsidRPr="004464B4">
        <w:t xml:space="preserve">camp operations. </w:t>
      </w:r>
      <w:r w:rsidR="005B4E7C" w:rsidRPr="004464B4">
        <w:t xml:space="preserve">According to the roster of POW internees at Camp Atterbury, </w:t>
      </w:r>
      <w:r w:rsidR="007065DA" w:rsidRPr="004464B4">
        <w:t>Michele Carrubba, an Italian corporal and self-declared pro-Fascist, “[a]ttacked the Italian Company Leader” for his pro-Ally views and “[t]hreatened revenge on all US personnel.”</w:t>
      </w:r>
      <w:r w:rsidR="007065DA" w:rsidRPr="004464B4">
        <w:rPr>
          <w:rStyle w:val="FootnoteReference"/>
        </w:rPr>
        <w:footnoteReference w:id="118"/>
      </w:r>
      <w:r w:rsidR="007065DA" w:rsidRPr="004464B4">
        <w:t xml:space="preserve"> </w:t>
      </w:r>
      <w:r w:rsidRPr="004464B4">
        <w:t>Rinaldo Bonvini, an</w:t>
      </w:r>
      <w:r w:rsidR="007065DA" w:rsidRPr="004464B4">
        <w:t>other pro-Fascist POW</w:t>
      </w:r>
      <w:r w:rsidRPr="004464B4">
        <w:t xml:space="preserve">, </w:t>
      </w:r>
      <w:r w:rsidR="005B4E7C" w:rsidRPr="004464B4">
        <w:t>was “</w:t>
      </w:r>
      <w:r w:rsidRPr="004464B4">
        <w:t>one of a number of agitators who signed their names to a pledge of loyalty bearing the Swastika, Rising Sun and Fascist emblems.</w:t>
      </w:r>
      <w:r w:rsidR="005B4E7C" w:rsidRPr="004464B4">
        <w:t>”</w:t>
      </w:r>
      <w:r w:rsidR="00DF00FE" w:rsidRPr="004464B4">
        <w:rPr>
          <w:rStyle w:val="FootnoteReference"/>
        </w:rPr>
        <w:footnoteReference w:id="119"/>
      </w:r>
    </w:p>
    <w:p w14:paraId="30E160B0" w14:textId="2C0040BF" w:rsidR="00084DA4" w:rsidRPr="0082025A" w:rsidRDefault="00F17E63" w:rsidP="003E6D1B">
      <w:pPr>
        <w:spacing w:after="160" w:line="360" w:lineRule="auto"/>
        <w:ind w:left="360" w:right="360" w:firstLine="720"/>
        <w:jc w:val="both"/>
      </w:pPr>
      <w:r>
        <w:t>The possibility of prisoner escapes generated a certain level of fear among local communities. Although infrequent—</w:t>
      </w:r>
      <w:r w:rsidR="00A36D63">
        <w:t>considering their</w:t>
      </w:r>
      <w:r>
        <w:t xml:space="preserve"> conspicuous appearance and lack of English proficiency</w:t>
      </w:r>
      <w:r w:rsidR="00A36D63">
        <w:t>—attempted escapes were not unheard of.</w:t>
      </w:r>
      <w:r>
        <w:t xml:space="preserve"> </w:t>
      </w:r>
      <w:r w:rsidR="00A36D63">
        <w:t>A</w:t>
      </w:r>
      <w:r w:rsidR="00F95D1A" w:rsidRPr="0082025A">
        <w:t>t Fort Benjamin Harrison in Ind</w:t>
      </w:r>
      <w:r w:rsidR="00A36D63">
        <w:t>ianapolis, one POW had made such an attempt but was</w:t>
      </w:r>
      <w:r w:rsidR="00F95D1A" w:rsidRPr="0082025A">
        <w:t xml:space="preserve"> </w:t>
      </w:r>
      <w:r w:rsidR="00A36D63">
        <w:t>“</w:t>
      </w:r>
      <w:r w:rsidR="00F95D1A" w:rsidRPr="0082025A">
        <w:t>recaptured within an hour.</w:t>
      </w:r>
      <w:r w:rsidR="00A36D63">
        <w:t>”</w:t>
      </w:r>
      <w:r w:rsidR="00A36D63">
        <w:rPr>
          <w:rStyle w:val="FootnoteReference"/>
        </w:rPr>
        <w:footnoteReference w:id="120"/>
      </w:r>
      <w:r w:rsidR="00F95D1A" w:rsidRPr="0082025A">
        <w:t xml:space="preserve"> </w:t>
      </w:r>
      <w:r w:rsidR="00A36D63">
        <w:t>Krammer writes of an escapee from Camp Atterbury “</w:t>
      </w:r>
      <w:r w:rsidR="002312ED" w:rsidRPr="0082025A">
        <w:t>captured by an eight-year-old boy, who, playing with a toy pistol, ordered an imaginary adversary to come out of an abandoned shack near the boy’s home in Columbus, Indiana.”</w:t>
      </w:r>
      <w:r w:rsidR="002312ED" w:rsidRPr="0082025A">
        <w:rPr>
          <w:rStyle w:val="FootnoteReference"/>
        </w:rPr>
        <w:footnoteReference w:id="121"/>
      </w:r>
      <w:r w:rsidR="002312ED" w:rsidRPr="0082025A">
        <w:t xml:space="preserve"> </w:t>
      </w:r>
    </w:p>
    <w:p w14:paraId="44E359DB" w14:textId="43AF0283" w:rsidR="00F17E63" w:rsidRDefault="00084DA4" w:rsidP="003E6D1B">
      <w:pPr>
        <w:spacing w:after="160" w:line="360" w:lineRule="auto"/>
        <w:ind w:left="360" w:right="360" w:firstLine="720"/>
        <w:jc w:val="both"/>
      </w:pPr>
      <w:r w:rsidRPr="0082025A">
        <w:t xml:space="preserve">Two German POWs escaped from Camp Austin one night in October of 1943. They were captured the following evening in a field near Brownstown. “The prisoners,” </w:t>
      </w:r>
      <w:r w:rsidRPr="006F649C">
        <w:t xml:space="preserve">according to the </w:t>
      </w:r>
      <w:r w:rsidRPr="006F649C">
        <w:rPr>
          <w:i/>
        </w:rPr>
        <w:t>Indianapolis Star</w:t>
      </w:r>
      <w:r w:rsidRPr="0082025A">
        <w:t>, “. . . were believed to have secreted themselves in a truck loaded with canned goods which left the [Morgan Packing Company plant]” late Friday for Bedford.</w:t>
      </w:r>
      <w:r w:rsidRPr="0082025A">
        <w:rPr>
          <w:rStyle w:val="FootnoteReference"/>
        </w:rPr>
        <w:footnoteReference w:id="122"/>
      </w:r>
    </w:p>
    <w:p w14:paraId="5A9788C5" w14:textId="1A121B53" w:rsidR="00201612" w:rsidRDefault="00F17E63" w:rsidP="003E6D1B">
      <w:pPr>
        <w:spacing w:after="160" w:line="360" w:lineRule="auto"/>
        <w:ind w:left="360" w:right="360" w:firstLine="720"/>
        <w:jc w:val="both"/>
      </w:pPr>
      <w:r>
        <w:t xml:space="preserve">Another </w:t>
      </w:r>
      <w:r w:rsidR="00A36D63">
        <w:t xml:space="preserve">disciplinary </w:t>
      </w:r>
      <w:r>
        <w:t>problem that invariably arose involved prisoner fraternization with women. As a result, employers</w:t>
      </w:r>
      <w:r w:rsidRPr="0082025A">
        <w:t xml:space="preserve"> </w:t>
      </w:r>
      <w:r>
        <w:t xml:space="preserve">often took precautionary measures. </w:t>
      </w:r>
      <w:r w:rsidRPr="0082025A">
        <w:t xml:space="preserve">At </w:t>
      </w:r>
      <w:r>
        <w:t xml:space="preserve">Camp </w:t>
      </w:r>
      <w:r w:rsidRPr="0082025A">
        <w:t xml:space="preserve">Austin, </w:t>
      </w:r>
      <w:r>
        <w:t xml:space="preserve">for example, </w:t>
      </w:r>
      <w:r w:rsidRPr="0082025A">
        <w:t>guards attempted “a physical separation, if possible, when PWs worked next to women.”</w:t>
      </w:r>
      <w:r w:rsidRPr="0082025A">
        <w:rPr>
          <w:rStyle w:val="FootnoteReference"/>
        </w:rPr>
        <w:footnoteReference w:id="123"/>
      </w:r>
    </w:p>
    <w:p w14:paraId="77D698A1" w14:textId="3F9E3839" w:rsidR="005D6C87" w:rsidRPr="0082025A" w:rsidRDefault="00201612" w:rsidP="003E6D1B">
      <w:pPr>
        <w:spacing w:after="160" w:line="360" w:lineRule="auto"/>
        <w:ind w:left="360" w:right="360" w:firstLine="720"/>
        <w:jc w:val="both"/>
      </w:pPr>
      <w:r>
        <w:t>Overall, it seems, instances of prisoner recalcitrance—and thus the need for disciplinary measures—remained relatively low in Indiana</w:t>
      </w:r>
      <w:r w:rsidR="00980F9D">
        <w:t>, at least among the Italians</w:t>
      </w:r>
      <w:r>
        <w:t xml:space="preserve">. In February of 1944, </w:t>
      </w:r>
      <w:r w:rsidRPr="00201612">
        <w:t>Dr. Benjamin Spiro, representing the Legation of Switzerland, Department of Italian Interests</w:t>
      </w:r>
      <w:r>
        <w:t>, reported that “discipline at [Camp Atterbury]</w:t>
      </w:r>
      <w:r w:rsidRPr="0082025A">
        <w:t xml:space="preserve"> is good, bu</w:t>
      </w:r>
      <w:r>
        <w:t>t not as strict as it might be.”</w:t>
      </w:r>
      <w:r w:rsidR="005219E0">
        <w:rPr>
          <w:rStyle w:val="FootnoteReference"/>
        </w:rPr>
        <w:footnoteReference w:id="124"/>
      </w:r>
      <w:r>
        <w:t xml:space="preserve"> He continued:</w:t>
      </w:r>
    </w:p>
    <w:p w14:paraId="24E53632" w14:textId="5DFF6517" w:rsidR="005D6C87" w:rsidRPr="0082025A" w:rsidRDefault="005D6C87" w:rsidP="00201612">
      <w:pPr>
        <w:ind w:left="1440" w:right="1440"/>
        <w:jc w:val="both"/>
      </w:pPr>
      <w:r w:rsidRPr="0082025A">
        <w:t>There have been no court martials and few p</w:t>
      </w:r>
      <w:r w:rsidR="00DB459E">
        <w:t>unishments. </w:t>
      </w:r>
      <w:r w:rsidRPr="0082025A">
        <w:t>The entire camp has been placed on a limited parole basis.  That is to say, each of the prisoners is issued a limited parole card which permits him to move freely in and around the camp within certain limits.  The general atmosphere of the camp is good.  The morale of the prisoners is high. </w:t>
      </w:r>
      <w:r w:rsidR="00201612">
        <w:t>. . .</w:t>
      </w:r>
      <w:r w:rsidRPr="0082025A">
        <w:t xml:space="preserve"> The prisoners are generally well-behaved.  The parole system seems to be working unusually well.</w:t>
      </w:r>
      <w:r w:rsidR="005219E0">
        <w:rPr>
          <w:rStyle w:val="FootnoteReference"/>
        </w:rPr>
        <w:footnoteReference w:id="125"/>
      </w:r>
    </w:p>
    <w:p w14:paraId="7390DBB1" w14:textId="77777777" w:rsidR="00C157FB" w:rsidRPr="0082025A" w:rsidRDefault="00C157FB" w:rsidP="005D6C87"/>
    <w:p w14:paraId="71162148" w14:textId="5A1305E9" w:rsidR="00980F9D" w:rsidRDefault="00EB1C1D" w:rsidP="003E6D1B">
      <w:pPr>
        <w:spacing w:after="160" w:line="360" w:lineRule="auto"/>
        <w:ind w:left="360" w:right="360"/>
        <w:jc w:val="both"/>
      </w:pPr>
      <w:r w:rsidRPr="004464B4">
        <w:t>In June of 1945, f</w:t>
      </w:r>
      <w:r w:rsidR="00980F9D" w:rsidRPr="004464B4">
        <w:t>ollowing</w:t>
      </w:r>
      <w:r w:rsidR="00980F9D" w:rsidRPr="00980F9D">
        <w:t xml:space="preserve"> the arrival of German POWs at Camp Atterbury, the U.S. Department</w:t>
      </w:r>
      <w:r w:rsidR="00C157FB" w:rsidRPr="00980F9D">
        <w:t xml:space="preserve"> of State </w:t>
      </w:r>
      <w:r w:rsidR="00980F9D" w:rsidRPr="00980F9D">
        <w:t>reported that,</w:t>
      </w:r>
      <w:r w:rsidR="00980F9D">
        <w:t xml:space="preserve"> “</w:t>
      </w:r>
      <w:r w:rsidR="00980F9D" w:rsidRPr="00980F9D">
        <w:t>disciplinary action covering the three months of November, December and January shows a total of 41, who were given from three to 30 days sentence, usually on restricted diet. The principal misdemeanors were refusal to work, unsatisfactory work, insubordination, unauthorized possession of United States Government property, theft, and sabotage.</w:t>
      </w:r>
      <w:r w:rsidR="00980F9D">
        <w:t>”</w:t>
      </w:r>
      <w:r w:rsidR="005219E0">
        <w:rPr>
          <w:rStyle w:val="FootnoteReference"/>
        </w:rPr>
        <w:footnoteReference w:id="126"/>
      </w:r>
      <w:r w:rsidR="00980F9D">
        <w:t xml:space="preserve"> And “[d]</w:t>
      </w:r>
      <w:r w:rsidR="00C157FB" w:rsidRPr="0082025A">
        <w:t>uring the period from December 6, 1944 to March 15, 1945 inclusive, there were a total of 81 cases of disciplinary punishment at this camp</w:t>
      </w:r>
      <w:r w:rsidR="00980F9D">
        <w:t>. </w:t>
      </w:r>
      <w:r w:rsidR="00C157FB" w:rsidRPr="0082025A">
        <w:t>Most of these were single cases and the sentence was usually seven to 14 days hard labor without pay.</w:t>
      </w:r>
      <w:r w:rsidR="00980F9D">
        <w:t>”</w:t>
      </w:r>
      <w:r w:rsidR="005219E0">
        <w:rPr>
          <w:rStyle w:val="FootnoteReference"/>
        </w:rPr>
        <w:footnoteReference w:id="127"/>
      </w:r>
      <w:r w:rsidR="00980F9D">
        <w:t xml:space="preserve"> The report went on the describe specific instances of disciplinary action:</w:t>
      </w:r>
    </w:p>
    <w:p w14:paraId="69AE08E7" w14:textId="54F2471B" w:rsidR="00C157FB" w:rsidRPr="0082025A" w:rsidRDefault="00980F9D" w:rsidP="00171033">
      <w:pPr>
        <w:ind w:left="1440" w:right="1440"/>
        <w:jc w:val="both"/>
      </w:pPr>
      <w:r>
        <w:t>[O]</w:t>
      </w:r>
      <w:r w:rsidR="00C157FB" w:rsidRPr="0082025A">
        <w:t>n February 7, a group of 20 prisoners refused to unload a railway car wh</w:t>
      </w:r>
      <w:r w:rsidR="00DB459E">
        <w:t>en on prescribed work detail.  T</w:t>
      </w:r>
      <w:r w:rsidR="00C157FB" w:rsidRPr="0082025A">
        <w:t>hey were sentenced to seven days on bread and water.  On February 28, four prisoners refused to give their names to the work foreman while on prescribed work detail.  Their sentence was seven days at hard labor</w:t>
      </w:r>
      <w:r>
        <w:t>, no pay, with full rations.  O</w:t>
      </w:r>
      <w:r w:rsidR="00C157FB" w:rsidRPr="0082025A">
        <w:t>n March 15, four prisone</w:t>
      </w:r>
      <w:r>
        <w:t>rs were charged with laxity on “Classification Warehouse Work”</w:t>
      </w:r>
      <w:r w:rsidR="00C157FB" w:rsidRPr="0082025A">
        <w:t xml:space="preserve"> detail.  They were sentenced to three days hard labo</w:t>
      </w:r>
      <w:r>
        <w:t>r without pay, on full rations.</w:t>
      </w:r>
      <w:r w:rsidR="005219E0">
        <w:rPr>
          <w:rStyle w:val="FootnoteReference"/>
        </w:rPr>
        <w:footnoteReference w:id="128"/>
      </w:r>
    </w:p>
    <w:p w14:paraId="6404648A" w14:textId="77777777" w:rsidR="00CC2BAA" w:rsidRPr="0082025A" w:rsidRDefault="00CC2BAA" w:rsidP="00977604">
      <w:pPr>
        <w:rPr>
          <w:b/>
        </w:rPr>
      </w:pPr>
    </w:p>
    <w:p w14:paraId="465F557D" w14:textId="7AB404D6" w:rsidR="006C5305" w:rsidRPr="00B644EB" w:rsidRDefault="004925E1" w:rsidP="003E6D1B">
      <w:pPr>
        <w:spacing w:after="160" w:line="360" w:lineRule="auto"/>
        <w:ind w:left="360" w:right="360" w:firstLine="720"/>
        <w:jc w:val="center"/>
        <w:rPr>
          <w:b/>
          <w:bCs/>
          <w:smallCaps/>
        </w:rPr>
      </w:pPr>
      <w:r w:rsidRPr="00B644EB">
        <w:rPr>
          <w:b/>
          <w:bCs/>
          <w:smallCaps/>
        </w:rPr>
        <w:t>Recreation, Religion, Education</w:t>
      </w:r>
    </w:p>
    <w:p w14:paraId="1CB204FF" w14:textId="33618807" w:rsidR="006C5305" w:rsidRPr="003E6D1B" w:rsidRDefault="004913DB" w:rsidP="003E6D1B">
      <w:pPr>
        <w:spacing w:after="160" w:line="360" w:lineRule="auto"/>
        <w:ind w:left="360" w:right="360" w:firstLine="720"/>
        <w:jc w:val="both"/>
        <w:rPr>
          <w:highlight w:val="yellow"/>
        </w:rPr>
      </w:pPr>
      <w:r w:rsidRPr="00A21ECB">
        <w:t>Under Article 16 of the</w:t>
      </w:r>
      <w:r w:rsidR="006C5305" w:rsidRPr="00A21ECB">
        <w:t xml:space="preserve"> Geneva Convention</w:t>
      </w:r>
      <w:r w:rsidRPr="00A21ECB">
        <w:t>, prisoners enjoyed “complete freedom in the performance of their religious duties, including attendance at the services of their faith.”</w:t>
      </w:r>
      <w:r w:rsidR="005219E0">
        <w:rPr>
          <w:rStyle w:val="FootnoteReference"/>
        </w:rPr>
        <w:footnoteReference w:id="129"/>
      </w:r>
      <w:r w:rsidRPr="00A21ECB">
        <w:t xml:space="preserve"> Prisoner religious personnel, regardless of their denomination, were “allowed freely to minister to their co-religionists.”</w:t>
      </w:r>
      <w:r w:rsidR="005219E0">
        <w:rPr>
          <w:rStyle w:val="FootnoteReference"/>
        </w:rPr>
        <w:footnoteReference w:id="130"/>
      </w:r>
      <w:r w:rsidR="00F65552">
        <w:t xml:space="preserve"> </w:t>
      </w:r>
      <w:r w:rsidR="002E20A4">
        <w:t>In the absence</w:t>
      </w:r>
      <w:r w:rsidR="005872C7">
        <w:t xml:space="preserve"> </w:t>
      </w:r>
      <w:r>
        <w:t>captive clergy</w:t>
      </w:r>
      <w:r w:rsidR="002E20A4">
        <w:t xml:space="preserve">, the U.S. Army appointed local religious personnel to minister services, often in </w:t>
      </w:r>
      <w:r>
        <w:t>the prisoners’</w:t>
      </w:r>
      <w:r w:rsidR="002E20A4">
        <w:t xml:space="preserve"> native language</w:t>
      </w:r>
      <w:r w:rsidR="006C5305" w:rsidRPr="0082025A">
        <w:t xml:space="preserve">. </w:t>
      </w:r>
      <w:r w:rsidR="002E20A4">
        <w:t>A</w:t>
      </w:r>
      <w:r w:rsidR="006C5305" w:rsidRPr="0082025A">
        <w:t>t Fort Benjamin Harrison “[a] German-speaking Lutheran pastor from Indianapolis [was] permitted to enter the stockade every Sunday morni</w:t>
      </w:r>
      <w:r w:rsidR="004925E1">
        <w:t>ng and preach to the prisoners.”</w:t>
      </w:r>
      <w:r w:rsidR="004925E1" w:rsidRPr="0082025A">
        <w:rPr>
          <w:rStyle w:val="FootnoteReference"/>
        </w:rPr>
        <w:footnoteReference w:id="131"/>
      </w:r>
      <w:r w:rsidR="004925E1">
        <w:t xml:space="preserve"> Apparently,</w:t>
      </w:r>
      <w:r w:rsidR="00FB55AE">
        <w:t xml:space="preserve"> however,</w:t>
      </w:r>
      <w:r w:rsidR="004925E1">
        <w:t xml:space="preserve"> “</w:t>
      </w:r>
      <w:r w:rsidR="006C5305" w:rsidRPr="0082025A">
        <w:t>no more than one-fifth of them attend[ed] the services.</w:t>
      </w:r>
      <w:r w:rsidR="006C5305" w:rsidRPr="0082025A">
        <w:rPr>
          <w:rStyle w:val="FootnoteReference"/>
        </w:rPr>
        <w:footnoteReference w:id="132"/>
      </w:r>
      <w:r w:rsidR="006C5305" w:rsidRPr="0082025A">
        <w:t xml:space="preserve"> </w:t>
      </w:r>
    </w:p>
    <w:p w14:paraId="174774E5" w14:textId="2047680E" w:rsidR="00D20CE3" w:rsidRPr="003E6D1B" w:rsidRDefault="00C05834" w:rsidP="003E6D1B">
      <w:pPr>
        <w:spacing w:after="160" w:line="360" w:lineRule="auto"/>
        <w:ind w:left="360" w:right="360" w:firstLine="720"/>
        <w:jc w:val="both"/>
        <w:rPr>
          <w:lang w:val="en"/>
        </w:rPr>
      </w:pPr>
      <w:r>
        <w:t xml:space="preserve">Construction planning for prisoner camps </w:t>
      </w:r>
      <w:r w:rsidR="00FB55AE">
        <w:t xml:space="preserve">initially </w:t>
      </w:r>
      <w:r>
        <w:t>called for the inclusion of</w:t>
      </w:r>
      <w:r w:rsidR="006C5305" w:rsidRPr="0082025A">
        <w:t xml:space="preserve"> chapel</w:t>
      </w:r>
      <w:r w:rsidR="00E640E5">
        <w:t>s; h</w:t>
      </w:r>
      <w:r>
        <w:t>owever,</w:t>
      </w:r>
      <w:r w:rsidR="006C5305" w:rsidRPr="0082025A">
        <w:t xml:space="preserve"> </w:t>
      </w:r>
      <w:r>
        <w:t>many of the detention sites lacked suitable</w:t>
      </w:r>
      <w:r w:rsidR="006C5305" w:rsidRPr="0082025A">
        <w:t xml:space="preserve"> </w:t>
      </w:r>
      <w:r>
        <w:t>structures</w:t>
      </w:r>
      <w:r w:rsidR="006C5305" w:rsidRPr="0082025A">
        <w:t>. In these situations, the camp commande</w:t>
      </w:r>
      <w:r w:rsidR="00AB0A7C">
        <w:t>r worked with the POW clergy or other</w:t>
      </w:r>
      <w:r w:rsidR="006C5305" w:rsidRPr="0082025A">
        <w:t xml:space="preserve"> spokesman to find a building suitable for holding services.</w:t>
      </w:r>
      <w:r w:rsidR="006C5305" w:rsidRPr="0082025A">
        <w:rPr>
          <w:rStyle w:val="FootnoteReference"/>
        </w:rPr>
        <w:footnoteReference w:id="133"/>
      </w:r>
      <w:r w:rsidR="00171033">
        <w:t xml:space="preserve"> </w:t>
      </w:r>
      <w:r w:rsidR="00B44B84" w:rsidRPr="00B44B84">
        <w:t>Italian POWs</w:t>
      </w:r>
      <w:r w:rsidR="00B44B84">
        <w:t xml:space="preserve"> at Camp Atterbury</w:t>
      </w:r>
      <w:r w:rsidR="00B44B84" w:rsidRPr="00B44B84">
        <w:t xml:space="preserve"> received permission to </w:t>
      </w:r>
      <w:r w:rsidR="00B44B84">
        <w:t>construct a small</w:t>
      </w:r>
      <w:r w:rsidR="00B44B84" w:rsidRPr="00B44B84">
        <w:t xml:space="preserve"> chapel. </w:t>
      </w:r>
      <w:r w:rsidR="00B44B84">
        <w:t xml:space="preserve">According to one </w:t>
      </w:r>
      <w:r w:rsidR="00B44B84" w:rsidRPr="00D33353">
        <w:t>source</w:t>
      </w:r>
      <w:r w:rsidR="00B44B84" w:rsidRPr="00B44B84">
        <w:t xml:space="preserve">, </w:t>
      </w:r>
      <w:r w:rsidR="00B44B84">
        <w:t>“</w:t>
      </w:r>
      <w:r w:rsidR="00B44B84" w:rsidRPr="00B44B84">
        <w:t>the prisoners used leftover brick and stucco to construct the building. Inside</w:t>
      </w:r>
      <w:r w:rsidR="00B44B84">
        <w:t xml:space="preserve">, they used berries, flowers—even blood, it’s rumored—to </w:t>
      </w:r>
      <w:r w:rsidR="00B44B84" w:rsidRPr="00B44B84">
        <w:t>create pigments for hand-painted frescos of religious figures: cherubs, Madonna, angels, the dove of peace, and on the ceiling, the eye of God.</w:t>
      </w:r>
      <w:r w:rsidR="00B44B84">
        <w:t>”</w:t>
      </w:r>
      <w:r w:rsidR="00B44B84">
        <w:rPr>
          <w:rStyle w:val="FootnoteReference"/>
        </w:rPr>
        <w:footnoteReference w:id="134"/>
      </w:r>
      <w:r w:rsidR="00B44B84">
        <w:t xml:space="preserve"> The chapel opened for service on Sunday, October 17, 1943, with a mass and dedication</w:t>
      </w:r>
      <w:r w:rsidR="00D33353">
        <w:t xml:space="preserve"> led by </w:t>
      </w:r>
      <w:r w:rsidR="00D33353" w:rsidRPr="00D33353">
        <w:rPr>
          <w:lang w:val="en"/>
        </w:rPr>
        <w:t>Amleto Giovanni Cicognani</w:t>
      </w:r>
      <w:r w:rsidR="00D33353">
        <w:rPr>
          <w:lang w:val="en"/>
        </w:rPr>
        <w:t>, the Vatican’s apostolic delegate to the United States</w:t>
      </w:r>
      <w:r w:rsidR="00B44B84">
        <w:t>.</w:t>
      </w:r>
      <w:r w:rsidR="005219E0">
        <w:rPr>
          <w:rStyle w:val="FootnoteReference"/>
        </w:rPr>
        <w:footnoteReference w:id="135"/>
      </w:r>
      <w:r w:rsidR="00373B27">
        <w:t xml:space="preserve"> </w:t>
      </w:r>
      <w:r w:rsidR="00A852C6">
        <w:t>The ceremony followed with a performance by a</w:t>
      </w:r>
      <w:r w:rsidR="00373B27">
        <w:rPr>
          <w:lang w:val="en"/>
        </w:rPr>
        <w:t xml:space="preserve"> </w:t>
      </w:r>
      <w:r w:rsidR="00A852C6">
        <w:rPr>
          <w:lang w:val="en"/>
        </w:rPr>
        <w:t>fourty-five piece POW</w:t>
      </w:r>
      <w:r w:rsidR="00373B27">
        <w:rPr>
          <w:lang w:val="en"/>
        </w:rPr>
        <w:t xml:space="preserve"> orchestra</w:t>
      </w:r>
      <w:r w:rsidR="00A852C6">
        <w:rPr>
          <w:lang w:val="en"/>
        </w:rPr>
        <w:t>.</w:t>
      </w:r>
      <w:r w:rsidR="00A852C6">
        <w:rPr>
          <w:rStyle w:val="FootnoteReference"/>
          <w:lang w:val="en"/>
        </w:rPr>
        <w:footnoteReference w:id="136"/>
      </w:r>
    </w:p>
    <w:p w14:paraId="0BB5E451" w14:textId="77777777" w:rsidR="00AB0A7C" w:rsidRDefault="00B44EF8" w:rsidP="00AB0A7C">
      <w:pPr>
        <w:spacing w:after="160" w:line="360" w:lineRule="auto"/>
        <w:ind w:left="360" w:right="360" w:firstLine="720"/>
        <w:jc w:val="both"/>
      </w:pPr>
      <w:r w:rsidRPr="00B44EF8">
        <w:t>Article 17 of the Geneva Convention</w:t>
      </w:r>
      <w:r w:rsidR="00F65552" w:rsidRPr="00B44EF8">
        <w:t xml:space="preserve"> required, “[s]o far as possible,” belligerent captors to “encourage intellectual diversions and sports organized by prisoners of war.”</w:t>
      </w:r>
      <w:r w:rsidR="005219E0">
        <w:rPr>
          <w:rStyle w:val="FootnoteReference"/>
        </w:rPr>
        <w:footnoteReference w:id="137"/>
      </w:r>
      <w:r w:rsidR="00AB0A7C">
        <w:t xml:space="preserve"> </w:t>
      </w:r>
      <w:r w:rsidR="00F65552" w:rsidRPr="00B44EF8">
        <w:t>Under these terms, POWs</w:t>
      </w:r>
      <w:r w:rsidR="006C5305" w:rsidRPr="00B44EF8">
        <w:t xml:space="preserve"> </w:t>
      </w:r>
      <w:r w:rsidR="00171033" w:rsidRPr="00B44EF8">
        <w:t xml:space="preserve">engaged in a variety of sports and often </w:t>
      </w:r>
      <w:r w:rsidR="006C5305" w:rsidRPr="00B44EF8">
        <w:t xml:space="preserve">organized athletic </w:t>
      </w:r>
      <w:r w:rsidR="00CB0253" w:rsidRPr="00B44EF8">
        <w:t>events</w:t>
      </w:r>
      <w:r w:rsidR="006C5305" w:rsidRPr="00B44EF8">
        <w:t>. At Fort Benjamin Harrison, prisoners were “permitted to pl</w:t>
      </w:r>
      <w:r w:rsidR="00F65552" w:rsidRPr="00B44EF8">
        <w:t>ay soccer and other games” in a nearby</w:t>
      </w:r>
      <w:r w:rsidR="00D33353">
        <w:t xml:space="preserve"> “uninclosed [sic]</w:t>
      </w:r>
      <w:r w:rsidR="006C5305" w:rsidRPr="0082025A">
        <w:t xml:space="preserve"> athletic field</w:t>
      </w:r>
      <w:r w:rsidR="00F65552">
        <w:t>.”</w:t>
      </w:r>
      <w:r w:rsidR="006C5305" w:rsidRPr="0082025A">
        <w:rPr>
          <w:rStyle w:val="FootnoteReference"/>
        </w:rPr>
        <w:footnoteReference w:id="138"/>
      </w:r>
      <w:r w:rsidR="00DF6E55">
        <w:t xml:space="preserve"> </w:t>
      </w:r>
    </w:p>
    <w:p w14:paraId="1876A92C" w14:textId="576E021F" w:rsidR="00BB52F4" w:rsidRDefault="000F6316" w:rsidP="00AB0A7C">
      <w:pPr>
        <w:spacing w:after="160" w:line="360" w:lineRule="auto"/>
        <w:ind w:left="360" w:right="360" w:firstLine="720"/>
        <w:jc w:val="both"/>
      </w:pPr>
      <w:r>
        <w:t>“Life is not all work and no play for the prisoners</w:t>
      </w:r>
      <w:r w:rsidR="002543AB">
        <w:t xml:space="preserve">,” a reporter from the </w:t>
      </w:r>
      <w:r w:rsidR="002543AB" w:rsidRPr="002543AB">
        <w:rPr>
          <w:i/>
        </w:rPr>
        <w:t>Franklin Evening Star</w:t>
      </w:r>
      <w:r w:rsidR="002543AB">
        <w:t xml:space="preserve"> noted during a visit to Camp Atterbury in June of 1943.</w:t>
      </w:r>
      <w:r w:rsidR="002543AB">
        <w:rPr>
          <w:rStyle w:val="FootnoteReference"/>
        </w:rPr>
        <w:footnoteReference w:id="139"/>
      </w:r>
      <w:r w:rsidR="00EE31B6">
        <w:t xml:space="preserve"> The POWs had access to a</w:t>
      </w:r>
      <w:r w:rsidR="002543AB">
        <w:t xml:space="preserve"> </w:t>
      </w:r>
      <w:r w:rsidR="00EE31B6">
        <w:t>large recreational area,</w:t>
      </w:r>
      <w:r w:rsidR="002543AB">
        <w:t xml:space="preserve"> </w:t>
      </w:r>
      <w:r w:rsidR="00EE31B6">
        <w:t xml:space="preserve">which </w:t>
      </w:r>
      <w:r w:rsidR="002543AB">
        <w:t>included “facilities for three soccer fields, six volley ball courts, one boxing ring, three boccie [s</w:t>
      </w:r>
      <w:r w:rsidR="00EE31B6">
        <w:t>ic] fields, and [outdoor] gymnasium.”</w:t>
      </w:r>
      <w:r w:rsidR="00EE31B6">
        <w:rPr>
          <w:rStyle w:val="FootnoteReference"/>
        </w:rPr>
        <w:footnoteReference w:id="140"/>
      </w:r>
      <w:r w:rsidR="002543AB">
        <w:t xml:space="preserve"> </w:t>
      </w:r>
      <w:r>
        <w:t xml:space="preserve">At Camp Atterbury, In August of 1943, a representative of the </w:t>
      </w:r>
      <w:r w:rsidRPr="0082025A">
        <w:t>International Red Cross</w:t>
      </w:r>
      <w:r>
        <w:t xml:space="preserve"> “</w:t>
      </w:r>
      <w:r w:rsidRPr="0082025A">
        <w:t>watched a</w:t>
      </w:r>
      <w:r>
        <w:t xml:space="preserve"> [soccer]</w:t>
      </w:r>
      <w:r w:rsidRPr="0082025A">
        <w:t xml:space="preserve"> mat</w:t>
      </w:r>
      <w:r>
        <w:t>ch which showed that the men [were]</w:t>
      </w:r>
      <w:r w:rsidRPr="0082025A">
        <w:t xml:space="preserve"> well versed in the game a</w:t>
      </w:r>
      <w:r>
        <w:t xml:space="preserve">nd in good physical condition. </w:t>
      </w:r>
      <w:r w:rsidRPr="0082025A">
        <w:t>During the period between halves,</w:t>
      </w:r>
      <w:r>
        <w:t xml:space="preserve"> </w:t>
      </w:r>
      <w:r w:rsidRPr="0082025A">
        <w:t>the militar</w:t>
      </w:r>
      <w:r>
        <w:t>y band played Italian marches.”</w:t>
      </w:r>
      <w:r w:rsidR="005219E0">
        <w:rPr>
          <w:rStyle w:val="FootnoteReference"/>
        </w:rPr>
        <w:footnoteReference w:id="141"/>
      </w:r>
      <w:r w:rsidR="00D034F2">
        <w:t> In addition to holding “[c]</w:t>
      </w:r>
      <w:r w:rsidR="005D6C87" w:rsidRPr="0082025A">
        <w:t>ompetitive games</w:t>
      </w:r>
      <w:r w:rsidR="00D034F2">
        <w:t>,” the Italian prisoners</w:t>
      </w:r>
      <w:r w:rsidR="005D6C87" w:rsidRPr="0082025A">
        <w:t xml:space="preserve"> </w:t>
      </w:r>
      <w:r w:rsidR="00BB52F4">
        <w:t>performed</w:t>
      </w:r>
      <w:r w:rsidR="005D6C87" w:rsidRPr="0082025A">
        <w:t xml:space="preserve"> </w:t>
      </w:r>
      <w:r w:rsidR="00D034F2">
        <w:t>“a stage play [and] a philharmonic concert</w:t>
      </w:r>
      <w:r w:rsidR="005D6C87" w:rsidRPr="0082025A">
        <w:t>.”</w:t>
      </w:r>
      <w:r w:rsidR="005219E0">
        <w:rPr>
          <w:rStyle w:val="FootnoteReference"/>
        </w:rPr>
        <w:footnoteReference w:id="142"/>
      </w:r>
    </w:p>
    <w:p w14:paraId="02A903F0" w14:textId="6B7925F1" w:rsidR="006C5305" w:rsidRPr="0082025A" w:rsidRDefault="00BB52F4" w:rsidP="003E6D1B">
      <w:pPr>
        <w:spacing w:after="160" w:line="360" w:lineRule="auto"/>
        <w:ind w:left="360" w:right="360" w:firstLine="720"/>
        <w:jc w:val="both"/>
      </w:pPr>
      <w:r>
        <w:t>At Camp Austin, t</w:t>
      </w:r>
      <w:r w:rsidRPr="0082025A">
        <w:t>he YMCA and Germ</w:t>
      </w:r>
      <w:r>
        <w:t>an Red Cross provided POWs</w:t>
      </w:r>
      <w:r w:rsidRPr="0082025A">
        <w:t xml:space="preserve"> with books and phonographs. A theater </w:t>
      </w:r>
      <w:r>
        <w:t xml:space="preserve">there </w:t>
      </w:r>
      <w:r w:rsidRPr="0082025A">
        <w:t>presented weekly films and served as a stage for a twenty-two-piece POW orchestra.</w:t>
      </w:r>
      <w:r w:rsidR="005219E0">
        <w:rPr>
          <w:rStyle w:val="FootnoteReference"/>
        </w:rPr>
        <w:footnoteReference w:id="143"/>
      </w:r>
      <w:r w:rsidRPr="0082025A">
        <w:t xml:space="preserve"> Prisoners also had access to a small recreation field to play soccer, handball and volleyball games. And religious services, both Catholic and Protestant, took place on Sundays.</w:t>
      </w:r>
      <w:r w:rsidR="005219E0">
        <w:rPr>
          <w:rStyle w:val="FootnoteReference"/>
        </w:rPr>
        <w:footnoteReference w:id="144"/>
      </w:r>
    </w:p>
    <w:p w14:paraId="2908BCCB" w14:textId="648F6095" w:rsidR="006C5305" w:rsidRPr="0082025A" w:rsidRDefault="00733FE1" w:rsidP="003E6D1B">
      <w:pPr>
        <w:spacing w:after="160" w:line="360" w:lineRule="auto"/>
        <w:ind w:left="360" w:right="360" w:firstLine="720"/>
        <w:jc w:val="both"/>
      </w:pPr>
      <w:r>
        <w:t xml:space="preserve">In addition </w:t>
      </w:r>
      <w:r w:rsidR="00CB0253">
        <w:t>to</w:t>
      </w:r>
      <w:r w:rsidR="00BB52F4">
        <w:t xml:space="preserve"> books, newspapers, and other reading materials (all censored, of course), </w:t>
      </w:r>
      <w:r w:rsidR="00F65552">
        <w:t>prisoners took classes</w:t>
      </w:r>
      <w:r w:rsidR="00CB0253">
        <w:t xml:space="preserve"> in which they studied</w:t>
      </w:r>
      <w:r w:rsidR="00BB52F4">
        <w:t xml:space="preserve"> a variety of subjects. </w:t>
      </w:r>
      <w:r w:rsidR="00BB52F4" w:rsidRPr="0082025A">
        <w:t>Camp Austin</w:t>
      </w:r>
      <w:r w:rsidR="00CB294D">
        <w:t>, for example,</w:t>
      </w:r>
      <w:r w:rsidR="00BB52F4" w:rsidRPr="0082025A">
        <w:t xml:space="preserve"> </w:t>
      </w:r>
      <w:r w:rsidR="00CB0253">
        <w:t>offered evening</w:t>
      </w:r>
      <w:r w:rsidR="00BB52F4" w:rsidRPr="0082025A">
        <w:t xml:space="preserve"> </w:t>
      </w:r>
      <w:r w:rsidR="00CB0253">
        <w:t xml:space="preserve">courses on </w:t>
      </w:r>
      <w:r w:rsidR="00BB52F4" w:rsidRPr="0082025A">
        <w:t>agriculture, mathematics, stenography, and the linguistic arts.</w:t>
      </w:r>
      <w:r w:rsidR="005219E0">
        <w:rPr>
          <w:rStyle w:val="FootnoteReference"/>
        </w:rPr>
        <w:footnoteReference w:id="145"/>
      </w:r>
      <w:r w:rsidR="00BB52F4" w:rsidRPr="0082025A">
        <w:t xml:space="preserve"> </w:t>
      </w:r>
    </w:p>
    <w:p w14:paraId="3ED5EF0A" w14:textId="6C801B4A" w:rsidR="006C5305" w:rsidRPr="0082025A" w:rsidRDefault="00CB294D" w:rsidP="003E6D1B">
      <w:pPr>
        <w:spacing w:after="160" w:line="360" w:lineRule="auto"/>
        <w:ind w:left="360" w:right="360" w:firstLine="720"/>
        <w:jc w:val="both"/>
      </w:pPr>
      <w:r w:rsidRPr="00A21ECB">
        <w:t>Most classes consisted of</w:t>
      </w:r>
      <w:r w:rsidR="006C5305" w:rsidRPr="00A21ECB">
        <w:t xml:space="preserve"> informal, </w:t>
      </w:r>
      <w:r w:rsidRPr="00A21ECB">
        <w:t>weekly</w:t>
      </w:r>
      <w:r w:rsidR="006C5305" w:rsidRPr="00A21ECB">
        <w:t xml:space="preserve"> discussions led </w:t>
      </w:r>
      <w:r w:rsidR="00AB0A7C">
        <w:t xml:space="preserve">by </w:t>
      </w:r>
      <w:r w:rsidRPr="00A21ECB">
        <w:t>members of the local community; o</w:t>
      </w:r>
      <w:r w:rsidR="006C5305" w:rsidRPr="00A21ECB">
        <w:t xml:space="preserve">thers </w:t>
      </w:r>
      <w:r w:rsidRPr="00A21ECB">
        <w:t>provided</w:t>
      </w:r>
      <w:r w:rsidR="006C5305" w:rsidRPr="00A21ECB">
        <w:t xml:space="preserve"> more </w:t>
      </w:r>
      <w:r w:rsidR="00397C4A" w:rsidRPr="00A21ECB">
        <w:t xml:space="preserve">formal, </w:t>
      </w:r>
      <w:r w:rsidR="006C5305" w:rsidRPr="00A21ECB">
        <w:t xml:space="preserve">rigorous </w:t>
      </w:r>
      <w:r w:rsidRPr="00A21ECB">
        <w:t>instruction, with courses taught by</w:t>
      </w:r>
      <w:r w:rsidR="006C5305" w:rsidRPr="00A21ECB">
        <w:t xml:space="preserve"> qualified </w:t>
      </w:r>
      <w:r w:rsidRPr="00A21ECB">
        <w:t>teachers</w:t>
      </w:r>
      <w:r w:rsidR="00397C4A" w:rsidRPr="00A21ECB">
        <w:t>. The latter of these</w:t>
      </w:r>
      <w:r w:rsidRPr="00A21ECB">
        <w:t xml:space="preserve"> programs</w:t>
      </w:r>
      <w:r w:rsidR="006C5305" w:rsidRPr="00A21ECB">
        <w:t xml:space="preserve"> </w:t>
      </w:r>
      <w:r w:rsidRPr="00A21ECB">
        <w:t>included</w:t>
      </w:r>
      <w:r w:rsidR="006C5305" w:rsidRPr="00A21ECB">
        <w:t xml:space="preserve"> exams and </w:t>
      </w:r>
      <w:r w:rsidR="00BF3558" w:rsidRPr="00A21ECB">
        <w:t xml:space="preserve">often </w:t>
      </w:r>
      <w:r w:rsidR="006C5305" w:rsidRPr="00A21ECB">
        <w:t xml:space="preserve">led to </w:t>
      </w:r>
      <w:r w:rsidRPr="00A21ECB">
        <w:t xml:space="preserve">course </w:t>
      </w:r>
      <w:r w:rsidR="006C5305" w:rsidRPr="00A21ECB">
        <w:t xml:space="preserve">credit through cooperating </w:t>
      </w:r>
      <w:r w:rsidRPr="00A21ECB">
        <w:t>academic institutions in both the United States and Germany</w:t>
      </w:r>
      <w:r w:rsidR="006C5305" w:rsidRPr="00A21ECB">
        <w:t>.</w:t>
      </w:r>
      <w:r w:rsidR="006C5305" w:rsidRPr="00A21ECB">
        <w:rPr>
          <w:rStyle w:val="FootnoteReference"/>
        </w:rPr>
        <w:footnoteReference w:id="146"/>
      </w:r>
      <w:r w:rsidRPr="00A21ECB">
        <w:t xml:space="preserve"> Several American universities offered correspondence programs of study. </w:t>
      </w:r>
      <w:r w:rsidR="00427FD7" w:rsidRPr="00A21ECB">
        <w:t>Through Indiana University’s Extension Division program, p</w:t>
      </w:r>
      <w:r w:rsidR="00397C4A" w:rsidRPr="00A21ECB">
        <w:t xml:space="preserve">risoners from </w:t>
      </w:r>
      <w:r w:rsidR="00990D0D" w:rsidRPr="00A21ECB">
        <w:t xml:space="preserve">camps in Arkansas, Tennessee, </w:t>
      </w:r>
      <w:r w:rsidR="00CA1B8F" w:rsidRPr="00A21ECB">
        <w:t xml:space="preserve">Kansas, Idaho, </w:t>
      </w:r>
      <w:r w:rsidR="00990D0D" w:rsidRPr="00A21ECB">
        <w:t xml:space="preserve">and Louisiana studied </w:t>
      </w:r>
      <w:r w:rsidR="00427FD7" w:rsidRPr="00A21ECB">
        <w:t xml:space="preserve">law, </w:t>
      </w:r>
      <w:r w:rsidR="00990D0D" w:rsidRPr="00A21ECB">
        <w:t xml:space="preserve">sociology, business, hygiene, physiology, economics, geography, </w:t>
      </w:r>
      <w:r w:rsidR="00427FD7" w:rsidRPr="00A21ECB">
        <w:t xml:space="preserve">English, </w:t>
      </w:r>
      <w:r w:rsidR="00990D0D" w:rsidRPr="00A21ECB">
        <w:t>and c</w:t>
      </w:r>
      <w:r w:rsidR="00427FD7" w:rsidRPr="00A21ECB">
        <w:t>ommunications philosophy</w:t>
      </w:r>
      <w:r w:rsidRPr="00A21ECB">
        <w:t>.</w:t>
      </w:r>
      <w:r w:rsidR="005219E0">
        <w:rPr>
          <w:rStyle w:val="FootnoteReference"/>
        </w:rPr>
        <w:footnoteReference w:id="147"/>
      </w:r>
      <w:r w:rsidR="00847888">
        <w:t xml:space="preserve"> </w:t>
      </w:r>
    </w:p>
    <w:p w14:paraId="77482E5E" w14:textId="188B37AF" w:rsidR="001D7FAD" w:rsidRDefault="00CB294D" w:rsidP="003E6D1B">
      <w:pPr>
        <w:spacing w:after="160" w:line="360" w:lineRule="auto"/>
        <w:ind w:left="360" w:right="360" w:firstLine="720"/>
        <w:jc w:val="both"/>
      </w:pPr>
      <w:r>
        <w:t xml:space="preserve">Beyond </w:t>
      </w:r>
      <w:r w:rsidR="002A2684">
        <w:t xml:space="preserve">promoting </w:t>
      </w:r>
      <w:r w:rsidR="00BF3558">
        <w:t xml:space="preserve">the </w:t>
      </w:r>
      <w:r>
        <w:t xml:space="preserve">mere leisurely </w:t>
      </w:r>
      <w:r w:rsidR="00BF3558">
        <w:t>pursuit of study</w:t>
      </w:r>
      <w:r w:rsidR="004925E1">
        <w:t>, t</w:t>
      </w:r>
      <w:r>
        <w:t>he POW education program in the United States</w:t>
      </w:r>
      <w:r w:rsidR="004925E1">
        <w:t>—known as</w:t>
      </w:r>
      <w:r w:rsidR="00084DA4" w:rsidRPr="0082025A">
        <w:t xml:space="preserve"> </w:t>
      </w:r>
      <w:r w:rsidR="004925E1">
        <w:t>“</w:t>
      </w:r>
      <w:r w:rsidR="00084DA4" w:rsidRPr="00DA0B45">
        <w:t>intellectual diversion program</w:t>
      </w:r>
      <w:r w:rsidR="004925E1" w:rsidRPr="00DA0B45">
        <w:t>s</w:t>
      </w:r>
      <w:r w:rsidR="004925E1">
        <w:t>”</w:t>
      </w:r>
      <w:r w:rsidR="00BF3558">
        <w:t xml:space="preserve">—was </w:t>
      </w:r>
      <w:r w:rsidR="00084DA4" w:rsidRPr="0082025A">
        <w:t>an attempt to politically reorient the prisoners.</w:t>
      </w:r>
      <w:r w:rsidR="005219E0">
        <w:rPr>
          <w:rStyle w:val="FootnoteReference"/>
        </w:rPr>
        <w:footnoteReference w:id="148"/>
      </w:r>
      <w:r w:rsidR="00084DA4" w:rsidRPr="0082025A">
        <w:t xml:space="preserve"> </w:t>
      </w:r>
      <w:r w:rsidR="00BF3558">
        <w:t>Because these</w:t>
      </w:r>
      <w:r w:rsidR="006C5305" w:rsidRPr="0082025A">
        <w:t xml:space="preserve"> efforts </w:t>
      </w:r>
      <w:r w:rsidR="00BF3558">
        <w:t>could</w:t>
      </w:r>
      <w:r w:rsidR="006C5305" w:rsidRPr="0082025A">
        <w:t xml:space="preserve"> be seen as </w:t>
      </w:r>
      <w:r w:rsidR="00BF3558">
        <w:t>an attempt by U.S. authorities to indoctrinate or denationalize the prisoners, and because the</w:t>
      </w:r>
      <w:r w:rsidR="00BF3558" w:rsidRPr="0082025A">
        <w:t xml:space="preserve"> Geneva Convention </w:t>
      </w:r>
      <w:r w:rsidR="00BF3558">
        <w:t>prohibited</w:t>
      </w:r>
      <w:r w:rsidR="00BF3558" w:rsidRPr="0082025A">
        <w:t xml:space="preserve"> </w:t>
      </w:r>
      <w:r w:rsidR="00BF3558">
        <w:t>such efforts, details of the program</w:t>
      </w:r>
      <w:r w:rsidR="00BF3558" w:rsidRPr="0082025A">
        <w:t xml:space="preserve"> </w:t>
      </w:r>
      <w:r w:rsidR="00BF3558">
        <w:t>were highly classified</w:t>
      </w:r>
      <w:r w:rsidR="006C5305" w:rsidRPr="0082025A">
        <w:t>.</w:t>
      </w:r>
      <w:r w:rsidR="006C5305" w:rsidRPr="0082025A">
        <w:rPr>
          <w:rStyle w:val="FootnoteReference"/>
        </w:rPr>
        <w:footnoteReference w:id="149"/>
      </w:r>
      <w:r w:rsidR="00BF3558">
        <w:t xml:space="preserve"> </w:t>
      </w:r>
      <w:r w:rsidR="00B440A4" w:rsidRPr="0082025A">
        <w:t>Camp Atterbury</w:t>
      </w:r>
      <w:r w:rsidR="00152041">
        <w:t xml:space="preserve">, according to </w:t>
      </w:r>
      <w:r w:rsidR="00AB0A7C">
        <w:t>historian Mary Arbuckle</w:t>
      </w:r>
      <w:r w:rsidR="00152041">
        <w:t xml:space="preserve">, </w:t>
      </w:r>
      <w:r w:rsidR="00B440A4" w:rsidRPr="0082025A">
        <w:t xml:space="preserve"> “conducted an intellectual diversion program which included over 35 courses of academic instruction, emphasis being placed on principles of democracy.</w:t>
      </w:r>
      <w:r w:rsidR="00BB52F4">
        <w:t>”</w:t>
      </w:r>
      <w:r w:rsidR="00AB0A7C">
        <w:rPr>
          <w:rStyle w:val="FootnoteReference"/>
        </w:rPr>
        <w:footnoteReference w:id="150"/>
      </w:r>
      <w:r w:rsidR="00BB52F4">
        <w:t xml:space="preserve"> Some of the prisoners even “</w:t>
      </w:r>
      <w:r w:rsidR="00B440A4" w:rsidRPr="0082025A">
        <w:t xml:space="preserve">prepared and </w:t>
      </w:r>
      <w:r w:rsidR="00BB52F4">
        <w:t>printed a textbook on democracy</w:t>
      </w:r>
      <w:r w:rsidR="00B440A4" w:rsidRPr="0082025A">
        <w:t>.”</w:t>
      </w:r>
      <w:r w:rsidR="00B440A4" w:rsidRPr="0082025A">
        <w:rPr>
          <w:rStyle w:val="FootnoteReference"/>
        </w:rPr>
        <w:footnoteReference w:id="151"/>
      </w:r>
      <w:r w:rsidR="00B440A4" w:rsidRPr="0082025A">
        <w:t xml:space="preserve"> </w:t>
      </w:r>
      <w:r w:rsidR="004925E1" w:rsidRPr="004464B4">
        <w:t>Indiana University, according</w:t>
      </w:r>
      <w:r w:rsidR="004925E1" w:rsidRPr="0082025A">
        <w:t xml:space="preserve"> to the </w:t>
      </w:r>
      <w:r w:rsidR="004925E1" w:rsidRPr="009E74C8">
        <w:rPr>
          <w:i/>
        </w:rPr>
        <w:t>Indianapolis Star</w:t>
      </w:r>
      <w:r w:rsidR="004925E1" w:rsidRPr="0082025A">
        <w:t>, was “one of 100 American colleges and universities which . . . attempt[ed] to remove some of the Nazi poison from the thinking of 370,000 German pri</w:t>
      </w:r>
      <w:r w:rsidR="004925E1">
        <w:t>soners of war in this country.”</w:t>
      </w:r>
      <w:r w:rsidR="004925E1">
        <w:rPr>
          <w:rStyle w:val="FootnoteReference"/>
        </w:rPr>
        <w:footnoteReference w:id="152"/>
      </w:r>
    </w:p>
    <w:p w14:paraId="0CB1DF26" w14:textId="3D0C58BF" w:rsidR="001D7FAD" w:rsidRPr="00B644EB" w:rsidRDefault="001D7FAD" w:rsidP="003E6D1B">
      <w:pPr>
        <w:spacing w:after="160" w:line="360" w:lineRule="auto"/>
        <w:ind w:left="360" w:right="360"/>
        <w:jc w:val="center"/>
        <w:rPr>
          <w:b/>
          <w:bCs/>
          <w:smallCaps/>
        </w:rPr>
      </w:pPr>
      <w:r w:rsidRPr="00B644EB">
        <w:rPr>
          <w:b/>
          <w:bCs/>
          <w:smallCaps/>
        </w:rPr>
        <w:t>Camp Inspections</w:t>
      </w:r>
    </w:p>
    <w:p w14:paraId="477EA526" w14:textId="3353CB3A" w:rsidR="00E41CB8" w:rsidRPr="00E41CB8" w:rsidRDefault="00E41CB8" w:rsidP="00E41CB8">
      <w:pPr>
        <w:spacing w:after="160" w:line="360" w:lineRule="auto"/>
        <w:ind w:left="360" w:right="360" w:firstLine="720"/>
        <w:jc w:val="both"/>
        <w:rPr>
          <w:highlight w:val="yellow"/>
        </w:rPr>
      </w:pPr>
      <w:r w:rsidRPr="00DA241F">
        <w:t>To ensure adherence to its provisions, the Geneva Convention</w:t>
      </w:r>
      <w:r w:rsidR="00AB0A7C">
        <w:t>s</w:t>
      </w:r>
      <w:r w:rsidRPr="00DA241F">
        <w:t xml:space="preserve"> established a de facto diplomatic framework, allowing belligerent states to learn of prisoner conditions and, if necessary, engage in indirect negotiations with the enemy. To accomplish this, Article 86 encouraged belligerent states to “appoint delegates from among their own nationals or from among the nationals of other neutral Powers” who would be “permitted to go to any place, without exception, where prisoners of war are interned.”</w:t>
      </w:r>
      <w:r>
        <w:rPr>
          <w:rStyle w:val="FootnoteReference"/>
        </w:rPr>
        <w:footnoteReference w:id="153"/>
      </w:r>
      <w:r w:rsidRPr="00DA241F">
        <w:t xml:space="preserve"> </w:t>
      </w:r>
    </w:p>
    <w:p w14:paraId="58773849" w14:textId="005F4B4E" w:rsidR="001D7FAD" w:rsidRDefault="001D7FAD" w:rsidP="003E6D1B">
      <w:pPr>
        <w:spacing w:after="160" w:line="360" w:lineRule="auto"/>
        <w:ind w:left="360" w:right="360" w:firstLine="720"/>
        <w:jc w:val="both"/>
      </w:pPr>
      <w:r>
        <w:t>Prisoner camps in Indiana</w:t>
      </w:r>
      <w:r w:rsidRPr="0082025A">
        <w:t xml:space="preserve"> </w:t>
      </w:r>
      <w:r>
        <w:t>received periodic visits by</w:t>
      </w:r>
      <w:r w:rsidRPr="0082025A">
        <w:t xml:space="preserve"> representatives of </w:t>
      </w:r>
      <w:r>
        <w:t>the International Red Cross and</w:t>
      </w:r>
      <w:r w:rsidRPr="0082025A">
        <w:t xml:space="preserve"> YMCA, </w:t>
      </w:r>
      <w:r>
        <w:t xml:space="preserve">delegations from </w:t>
      </w:r>
      <w:r w:rsidRPr="0082025A">
        <w:t xml:space="preserve">neutral </w:t>
      </w:r>
      <w:r>
        <w:t>state powers</w:t>
      </w:r>
      <w:r w:rsidRPr="0082025A">
        <w:t xml:space="preserve">, </w:t>
      </w:r>
      <w:r>
        <w:t>and officials</w:t>
      </w:r>
      <w:r w:rsidRPr="0082025A">
        <w:t xml:space="preserve"> </w:t>
      </w:r>
      <w:r>
        <w:t>from</w:t>
      </w:r>
      <w:r w:rsidRPr="0082025A">
        <w:t xml:space="preserve"> the State Department, the </w:t>
      </w:r>
      <w:r>
        <w:t>Provost Marshal General’s office, the House Military Affairs C</w:t>
      </w:r>
      <w:r w:rsidRPr="0082025A">
        <w:t xml:space="preserve">ommittee, and </w:t>
      </w:r>
      <w:r>
        <w:t>the Office</w:t>
      </w:r>
      <w:r w:rsidRPr="0082025A">
        <w:t xml:space="preserve"> of the President of the United States.</w:t>
      </w:r>
      <w:r w:rsidRPr="0082025A">
        <w:rPr>
          <w:rStyle w:val="FootnoteReference"/>
        </w:rPr>
        <w:footnoteReference w:id="154"/>
      </w:r>
    </w:p>
    <w:p w14:paraId="3BED5DC2" w14:textId="21A2DF5A" w:rsidR="001D7FAD" w:rsidRDefault="001D7FAD" w:rsidP="003E6D1B">
      <w:pPr>
        <w:spacing w:after="160" w:line="360" w:lineRule="auto"/>
        <w:ind w:left="360" w:right="360" w:firstLine="720"/>
        <w:jc w:val="both"/>
      </w:pPr>
      <w:r>
        <w:t>Naturally, governmental</w:t>
      </w:r>
      <w:r w:rsidRPr="0082025A">
        <w:t xml:space="preserve"> authorities were </w:t>
      </w:r>
      <w:r>
        <w:t>highly</w:t>
      </w:r>
      <w:r w:rsidRPr="0082025A">
        <w:t xml:space="preserve"> sensitive to the</w:t>
      </w:r>
      <w:r>
        <w:t xml:space="preserve">se inspections; </w:t>
      </w:r>
      <w:r w:rsidRPr="0082025A">
        <w:t xml:space="preserve">any findings </w:t>
      </w:r>
      <w:r>
        <w:t>of POW</w:t>
      </w:r>
      <w:r w:rsidRPr="0082025A">
        <w:t xml:space="preserve"> mistreatment would </w:t>
      </w:r>
      <w:r>
        <w:t>likely result in</w:t>
      </w:r>
      <w:r w:rsidRPr="0082025A">
        <w:t xml:space="preserve"> retaliation against American prisoners</w:t>
      </w:r>
      <w:r>
        <w:t xml:space="preserve"> abroad</w:t>
      </w:r>
      <w:r w:rsidRPr="0082025A">
        <w:t>.</w:t>
      </w:r>
      <w:r w:rsidRPr="0082025A">
        <w:rPr>
          <w:rStyle w:val="FootnoteReference"/>
        </w:rPr>
        <w:footnoteReference w:id="155"/>
      </w:r>
      <w:r>
        <w:t xml:space="preserve"> Estimates vary, but close to 130,000 American POWs fell into enemy hands over the course of World War II.</w:t>
      </w:r>
      <w:r w:rsidR="005219E0">
        <w:rPr>
          <w:rStyle w:val="FootnoteReference"/>
        </w:rPr>
        <w:footnoteReference w:id="156"/>
      </w:r>
      <w:r>
        <w:t xml:space="preserve"> Among them was Bruce Gribben of Indianapolis, a flight officer in the Army Air Corps who was shot down and captured by German fighters off the coast of Salerno, Italy, on August 22, 1943.</w:t>
      </w:r>
      <w:r w:rsidR="005219E0">
        <w:rPr>
          <w:rStyle w:val="FootnoteReference"/>
        </w:rPr>
        <w:footnoteReference w:id="157"/>
      </w:r>
      <w:r>
        <w:t xml:space="preserve"> In a letter written from a German a prison camp less than a month after his capture, Gribben assured his family back home that he was “well and warm,” although in need of toiletries, various articles of clothing, and his bible.</w:t>
      </w:r>
      <w:r w:rsidR="005219E0">
        <w:rPr>
          <w:rStyle w:val="FootnoteReference"/>
        </w:rPr>
        <w:footnoteReference w:id="158"/>
      </w:r>
      <w:r>
        <w:t xml:space="preserve"> So he asked that they “[g]o to the Red Cross and find out what [they could] send.”</w:t>
      </w:r>
      <w:r w:rsidR="005219E0">
        <w:rPr>
          <w:rStyle w:val="FootnoteReference"/>
        </w:rPr>
        <w:footnoteReference w:id="159"/>
      </w:r>
      <w:r>
        <w:t xml:space="preserve"> The Red Cross, he emphasized, was “the </w:t>
      </w:r>
      <w:r w:rsidRPr="00740F76">
        <w:rPr>
          <w:i/>
        </w:rPr>
        <w:t>only</w:t>
      </w:r>
      <w:r>
        <w:t xml:space="preserve"> thing that [kept the POWs] going.”</w:t>
      </w:r>
      <w:r w:rsidR="005219E0">
        <w:rPr>
          <w:rStyle w:val="FootnoteReference"/>
        </w:rPr>
        <w:footnoteReference w:id="160"/>
      </w:r>
      <w:r>
        <w:t xml:space="preserve"> Gribben would spend nearly two years in German prison camps before his liberation on April 29, 1945.</w:t>
      </w:r>
      <w:r>
        <w:rPr>
          <w:rStyle w:val="FootnoteReference"/>
        </w:rPr>
        <w:footnoteReference w:id="161"/>
      </w:r>
    </w:p>
    <w:p w14:paraId="6176A9AE" w14:textId="013321C3" w:rsidR="001D7FAD" w:rsidRDefault="001D7FAD" w:rsidP="003E6D1B">
      <w:pPr>
        <w:spacing w:after="160" w:line="360" w:lineRule="auto"/>
        <w:ind w:left="360" w:right="360" w:firstLine="720"/>
        <w:jc w:val="both"/>
      </w:pPr>
      <w:r>
        <w:t>In reporting on its wartime activities, the ICRC described using the following methods in conducting a typical POW camp inspection:</w:t>
      </w:r>
    </w:p>
    <w:p w14:paraId="20586BFA" w14:textId="77777777" w:rsidR="001D7FAD" w:rsidRPr="0082025A" w:rsidRDefault="001D7FAD" w:rsidP="001D7FAD">
      <w:pPr>
        <w:ind w:left="1440" w:right="1440"/>
        <w:jc w:val="both"/>
      </w:pPr>
      <w:r>
        <w:t>After getting information from the camp leader and camp authorities, [the ICRC representative] made a careful inspection of the various buildings: sleeping quarters, cook-houses, mess halls, sick wards, rooms for games or recreation, latrines, washhouses, etc. He questioned any PW whom he met there. . . . He asked for the bills of fare, and checked the stock of foodstuffs and store of medicaments. . . . He had long talks with the chaplains of the different communities, with the camp leader and finally, with all PW who asked to be heard. All complaints were listened to and forwarded.</w:t>
      </w:r>
      <w:r>
        <w:rPr>
          <w:rStyle w:val="FootnoteReference"/>
        </w:rPr>
        <w:footnoteReference w:id="162"/>
      </w:r>
    </w:p>
    <w:p w14:paraId="7B3321A5" w14:textId="77777777" w:rsidR="001D7FAD" w:rsidRPr="0082025A" w:rsidRDefault="001D7FAD" w:rsidP="001D7FAD">
      <w:pPr>
        <w:ind w:left="720"/>
      </w:pPr>
    </w:p>
    <w:p w14:paraId="29DC6416" w14:textId="2AA15A47" w:rsidR="001D7FAD" w:rsidRPr="00584776" w:rsidRDefault="001D7FAD" w:rsidP="00D72979">
      <w:pPr>
        <w:spacing w:after="160" w:line="360" w:lineRule="auto"/>
        <w:ind w:left="360" w:right="360"/>
        <w:jc w:val="both"/>
      </w:pPr>
      <w:r>
        <w:t xml:space="preserve">By </w:t>
      </w:r>
      <w:r w:rsidRPr="00584776">
        <w:t>gathering this information, the ICRC inspector “could thus carry away from his visits a complete picture: equipment of the camp, discipline, relations between the authorities and the men, etc.”</w:t>
      </w:r>
      <w:r w:rsidRPr="00584776">
        <w:rPr>
          <w:rStyle w:val="FootnoteReference"/>
        </w:rPr>
        <w:footnoteReference w:id="163"/>
      </w:r>
    </w:p>
    <w:p w14:paraId="05B72E6F" w14:textId="1083C821" w:rsidR="001D7FAD" w:rsidRPr="00584776" w:rsidRDefault="001D7FAD" w:rsidP="00D72979">
      <w:pPr>
        <w:spacing w:after="160" w:line="360" w:lineRule="auto"/>
        <w:ind w:left="360" w:right="360" w:firstLine="720"/>
        <w:jc w:val="both"/>
      </w:pPr>
      <w:r w:rsidRPr="00584776">
        <w:t>On August 29, 1943, following an inspection of Camp Atterbury, the ICRC reported that “[t]he camp leaves a very good impression and the Camp Commander does everything he can for the prisoners. The latter appreciate his services and collaborate with him fully.”</w:t>
      </w:r>
      <w:r w:rsidR="00A31025" w:rsidRPr="00584776">
        <w:rPr>
          <w:rStyle w:val="FootnoteReference"/>
        </w:rPr>
        <w:footnoteReference w:id="164"/>
      </w:r>
      <w:r w:rsidRPr="00584776">
        <w:t xml:space="preserve"> A subsequent inspection report on March 24, 1944, concluded that “[t]he prisoners enjoy all the advantages and all the amusements that it is possible to grant them. Their morale is good.”</w:t>
      </w:r>
      <w:r w:rsidR="00A31025" w:rsidRPr="00584776">
        <w:rPr>
          <w:rStyle w:val="FootnoteReference"/>
        </w:rPr>
        <w:footnoteReference w:id="165"/>
      </w:r>
      <w:r w:rsidRPr="00584776">
        <w:t xml:space="preserve"> In confirming these opinions, the State Department, following an inspection on June 1, 1945, made the following observations: </w:t>
      </w:r>
    </w:p>
    <w:p w14:paraId="5F7D0B0D" w14:textId="6764ACE8" w:rsidR="001D7FAD" w:rsidRPr="00584776" w:rsidRDefault="001D7FAD" w:rsidP="001D7FAD">
      <w:pPr>
        <w:ind w:left="1440" w:right="1440"/>
        <w:jc w:val="both"/>
      </w:pPr>
      <w:r w:rsidRPr="00584776">
        <w:t>Atterbury is an exceptionally well administrated prisoner of war camp. The commanding officer very plainly has the confidence and close cooperation of all his assistants, who in turn appear to have been able to get unusually satisfactory services from the prisoners themselves, whether in contract farm work or at the base camp and the prisoner of war camp itself.</w:t>
      </w:r>
      <w:r w:rsidR="00A31025" w:rsidRPr="00584776">
        <w:rPr>
          <w:rStyle w:val="FootnoteReference"/>
        </w:rPr>
        <w:footnoteReference w:id="166"/>
      </w:r>
    </w:p>
    <w:p w14:paraId="5B1DCA70" w14:textId="77777777" w:rsidR="001D7FAD" w:rsidRPr="00584776" w:rsidRDefault="001D7FAD" w:rsidP="001D7FAD"/>
    <w:p w14:paraId="4D185519" w14:textId="0FF6FB5A" w:rsidR="004C72FC" w:rsidRPr="00D72979" w:rsidRDefault="001D7FAD" w:rsidP="00D72979">
      <w:pPr>
        <w:spacing w:after="160" w:line="360" w:lineRule="auto"/>
        <w:ind w:left="360" w:right="360"/>
        <w:jc w:val="both"/>
      </w:pPr>
      <w:r w:rsidRPr="00584776">
        <w:t xml:space="preserve">Despite these glowing reports of Camp Atterbury, other POW camps in Indiana </w:t>
      </w:r>
      <w:r w:rsidR="001E7363">
        <w:t xml:space="preserve">occasionally </w:t>
      </w:r>
      <w:r w:rsidRPr="00584776">
        <w:t>failed to measure up. Following an inspection of Camp Austin on December 1, 1944, Swiss delegates declared the detention site “</w:t>
      </w:r>
      <w:r w:rsidR="00342BF0" w:rsidRPr="00584776">
        <w:t>most</w:t>
      </w:r>
      <w:r w:rsidRPr="00584776">
        <w:t xml:space="preserve"> primitive.”</w:t>
      </w:r>
      <w:r w:rsidR="00342BF0" w:rsidRPr="00584776">
        <w:rPr>
          <w:rStyle w:val="FootnoteReference"/>
        </w:rPr>
        <w:footnoteReference w:id="167"/>
      </w:r>
      <w:r w:rsidRPr="00584776">
        <w:t xml:space="preserve"> The inspectors noted in particular the lack of winterized tents for all POWs, as well as the unsanitary condition of prisoner latrines and bathing facilities. Additionally, the lack of a canteen and mess hall (although under construction) forced prisoners to eat in their tents.</w:t>
      </w:r>
      <w:r w:rsidR="00A31025" w:rsidRPr="00584776">
        <w:rPr>
          <w:rStyle w:val="FootnoteReference"/>
        </w:rPr>
        <w:footnoteReference w:id="168"/>
      </w:r>
      <w:r w:rsidRPr="00584776">
        <w:t xml:space="preserve"> Inspectors expressed particular concern with Geneva Convention violations when they learned of </w:t>
      </w:r>
      <w:r w:rsidR="00342BF0" w:rsidRPr="00584776">
        <w:t>the camp’s failure to report prisoner complaints of an</w:t>
      </w:r>
      <w:r w:rsidRPr="00584776">
        <w:t xml:space="preserve"> alleged bayoneting.</w:t>
      </w:r>
      <w:r w:rsidR="005F0E7D" w:rsidRPr="00584776">
        <w:rPr>
          <w:rStyle w:val="FootnoteReference"/>
        </w:rPr>
        <w:footnoteReference w:id="169"/>
      </w:r>
      <w:r w:rsidRPr="00584776">
        <w:t xml:space="preserve"> Whether </w:t>
      </w:r>
      <w:r w:rsidR="001E7363">
        <w:t>prisoner deaths resulte</w:t>
      </w:r>
      <w:r w:rsidR="0034400B">
        <w:t xml:space="preserve">d from this incident is unclear; however, there </w:t>
      </w:r>
      <w:r w:rsidR="001E7363">
        <w:t>is no indication</w:t>
      </w:r>
      <w:r w:rsidR="0034400B">
        <w:t xml:space="preserve"> </w:t>
      </w:r>
      <w:r w:rsidR="001E7363">
        <w:t xml:space="preserve">that </w:t>
      </w:r>
      <w:r w:rsidR="0034400B">
        <w:t>it</w:t>
      </w:r>
      <w:r w:rsidRPr="00584776">
        <w:t xml:space="preserve"> resulted in diplomatic tensions or retaliatory measures</w:t>
      </w:r>
      <w:r w:rsidR="0034400B">
        <w:t xml:space="preserve"> against American POWs overseas. Fortunately, </w:t>
      </w:r>
      <w:r w:rsidRPr="00584776">
        <w:t>the Swiss Legation found conditions at Camp Austin had improved significantly during a return visit in May of 1945.</w:t>
      </w:r>
      <w:r w:rsidR="00586B48" w:rsidRPr="00584776">
        <w:rPr>
          <w:rStyle w:val="FootnoteReference"/>
        </w:rPr>
        <w:footnoteReference w:id="170"/>
      </w:r>
    </w:p>
    <w:p w14:paraId="65B3272A" w14:textId="49B708F1" w:rsidR="002312ED" w:rsidRPr="00B644EB" w:rsidRDefault="00B91E24" w:rsidP="00D72979">
      <w:pPr>
        <w:pStyle w:val="ListParagraph"/>
        <w:spacing w:after="160" w:line="360" w:lineRule="auto"/>
        <w:ind w:left="360" w:right="360"/>
        <w:jc w:val="center"/>
        <w:rPr>
          <w:b/>
          <w:bCs/>
          <w:smallCaps/>
        </w:rPr>
      </w:pPr>
      <w:bookmarkStart w:id="1" w:name="_GoBack"/>
      <w:bookmarkEnd w:id="1"/>
      <w:r>
        <w:rPr>
          <w:b/>
          <w:bCs/>
          <w:smallCaps/>
        </w:rPr>
        <w:br/>
      </w:r>
      <w:r w:rsidR="004C72FC" w:rsidRPr="00B644EB">
        <w:rPr>
          <w:b/>
          <w:bCs/>
          <w:smallCaps/>
        </w:rPr>
        <w:t>“Eden for Enemy Prisoners”</w:t>
      </w:r>
      <w:r w:rsidR="009B66E8" w:rsidRPr="00B644EB">
        <w:rPr>
          <w:b/>
          <w:bCs/>
          <w:smallCaps/>
        </w:rPr>
        <w:t>: Responding to Domestic Charges of POW “Coddling”</w:t>
      </w:r>
    </w:p>
    <w:p w14:paraId="358CE845" w14:textId="5125FD39" w:rsidR="006E4D39" w:rsidRDefault="00154164" w:rsidP="00D72979">
      <w:pPr>
        <w:tabs>
          <w:tab w:val="left" w:pos="8640"/>
        </w:tabs>
        <w:spacing w:after="160" w:line="360" w:lineRule="auto"/>
        <w:ind w:left="360" w:right="360" w:firstLine="720"/>
        <w:jc w:val="both"/>
      </w:pPr>
      <w:r w:rsidRPr="00584776">
        <w:t>In November of 1944, the congressional House Committee on Military Affairs conducted an investigation into the national war effort, responding to “reports in some communit</w:t>
      </w:r>
      <w:r w:rsidR="003558D7" w:rsidRPr="00584776">
        <w:t xml:space="preserve">ies adjacent to detention camps” </w:t>
      </w:r>
      <w:r w:rsidRPr="00584776">
        <w:t>that</w:t>
      </w:r>
      <w:r w:rsidR="00970871" w:rsidRPr="00584776">
        <w:t>, despite wartime rationing</w:t>
      </w:r>
      <w:r w:rsidR="003F6912" w:rsidRPr="00584776">
        <w:t xml:space="preserve"> for the rest of the civilian population</w:t>
      </w:r>
      <w:r w:rsidR="00970871" w:rsidRPr="00584776">
        <w:t>,</w:t>
      </w:r>
      <w:r w:rsidRPr="00584776">
        <w:t xml:space="preserve"> </w:t>
      </w:r>
      <w:r w:rsidR="00970871" w:rsidRPr="00584776">
        <w:t>“</w:t>
      </w:r>
      <w:r w:rsidRPr="00584776">
        <w:t>enemy</w:t>
      </w:r>
      <w:r>
        <w:t xml:space="preserve"> prisoners of war were being granted to</w:t>
      </w:r>
      <w:r w:rsidR="001E0D1E">
        <w:t>o many privileges and liberties</w:t>
      </w:r>
      <w:r w:rsidR="00970871">
        <w:t>.</w:t>
      </w:r>
      <w:r w:rsidR="00B44EF8">
        <w:t>”</w:t>
      </w:r>
      <w:r w:rsidR="00A31025">
        <w:rPr>
          <w:rStyle w:val="FootnoteReference"/>
        </w:rPr>
        <w:footnoteReference w:id="171"/>
      </w:r>
      <w:r w:rsidR="00B44EF8">
        <w:t xml:space="preserve"> In preparing its</w:t>
      </w:r>
      <w:r w:rsidR="001E0D1E">
        <w:t xml:space="preserve"> </w:t>
      </w:r>
      <w:r w:rsidR="00F7170A">
        <w:t>assessment</w:t>
      </w:r>
      <w:r w:rsidR="001E0D1E">
        <w:t xml:space="preserve">, the Committee </w:t>
      </w:r>
      <w:r w:rsidR="00F7170A">
        <w:t xml:space="preserve">conducted a survey of several POW camps. At Camp Atterbury, the report noted, </w:t>
      </w:r>
      <w:r w:rsidR="001E0D1E">
        <w:t>“[t]</w:t>
      </w:r>
      <w:r w:rsidR="001E0D1E" w:rsidRPr="0082025A">
        <w:t>reatment accorded the prisoners</w:t>
      </w:r>
      <w:r w:rsidR="001E0D1E">
        <w:t xml:space="preserve"> </w:t>
      </w:r>
      <w:r w:rsidR="001E0D1E" w:rsidRPr="0082025A">
        <w:t>has been in conformity with the provisions of the Geneva Convention of 1929. They have not been dealt with harshly, neither have they been coddled. There have been no dances or any parties of any kind for them. Civilians have not been permitted to visit them inside the stockade.”</w:t>
      </w:r>
      <w:r w:rsidR="001E0D1E" w:rsidRPr="0082025A">
        <w:rPr>
          <w:rStyle w:val="FootnoteReference"/>
        </w:rPr>
        <w:footnoteReference w:id="172"/>
      </w:r>
      <w:r w:rsidR="00910F80">
        <w:t xml:space="preserve"> Moreover</w:t>
      </w:r>
      <w:r w:rsidR="00F7170A">
        <w:t xml:space="preserve"> “[a]s to the manner prisoners of war have been handled at Fort Benjam</w:t>
      </w:r>
      <w:r w:rsidR="00910F80">
        <w:t>in Harrison,” the Committee discovered</w:t>
      </w:r>
      <w:r w:rsidR="00F7170A">
        <w:t xml:space="preserve"> “no evidence of any criticism or resentment</w:t>
      </w:r>
      <w:r w:rsidR="00B644EB">
        <w:t xml:space="preserve"> . . .</w:t>
      </w:r>
      <w:r w:rsidR="00F7170A">
        <w:t xml:space="preserve"> among the civilian population of Indianapolis.”</w:t>
      </w:r>
      <w:r w:rsidR="00A31025">
        <w:rPr>
          <w:rStyle w:val="FootnoteReference"/>
        </w:rPr>
        <w:footnoteReference w:id="173"/>
      </w:r>
    </w:p>
    <w:p w14:paraId="2ABB9E34" w14:textId="33965073" w:rsidR="006E4D39" w:rsidRDefault="006E4D39" w:rsidP="00D72979">
      <w:pPr>
        <w:tabs>
          <w:tab w:val="left" w:pos="8550"/>
          <w:tab w:val="left" w:pos="8640"/>
        </w:tabs>
        <w:spacing w:after="160" w:line="360" w:lineRule="auto"/>
        <w:ind w:left="360" w:right="360" w:firstLine="720"/>
        <w:jc w:val="both"/>
      </w:pPr>
      <w:r>
        <w:t xml:space="preserve">Much of the criticism </w:t>
      </w:r>
      <w:r w:rsidR="00DF0090">
        <w:t>to which the Committee responded</w:t>
      </w:r>
      <w:r>
        <w:t xml:space="preserve"> </w:t>
      </w:r>
      <w:r w:rsidR="00DF0090">
        <w:t>had appeared in the</w:t>
      </w:r>
      <w:r>
        <w:t xml:space="preserve"> national press. An editorial published in the </w:t>
      </w:r>
      <w:r w:rsidRPr="006E4D39">
        <w:rPr>
          <w:i/>
        </w:rPr>
        <w:t>Indianapolis Star</w:t>
      </w:r>
      <w:r>
        <w:t xml:space="preserve"> on February 4, 1944, ent</w:t>
      </w:r>
      <w:r w:rsidR="00DF0090">
        <w:t>itled “Eden for Enemy Prisoners,” seems to have captured the prevailing public sentiment:</w:t>
      </w:r>
    </w:p>
    <w:p w14:paraId="0F7524A5" w14:textId="59B74F19" w:rsidR="006E4D39" w:rsidRPr="0082025A" w:rsidRDefault="006E4D39" w:rsidP="00DF0090">
      <w:pPr>
        <w:tabs>
          <w:tab w:val="left" w:pos="8550"/>
          <w:tab w:val="left" w:pos="8640"/>
        </w:tabs>
        <w:ind w:left="1440" w:right="1440"/>
        <w:jc w:val="both"/>
      </w:pPr>
      <w:r w:rsidRPr="0082025A">
        <w:t xml:space="preserve">The expectation expressed by a well-educated German after capture near Rome of an easy carefree life in the United States as a prisoner of war probably reflects the general view of our enemies.  His estimate of prospects was reported in a press dispatch from the Italian front.  The Nazi said the general belief existed among his forces that they would live off the fat of the land in America, wandering around towns as trustees. </w:t>
      </w:r>
    </w:p>
    <w:p w14:paraId="1C0B8B4F" w14:textId="6E696EBE" w:rsidR="006E4D39" w:rsidRDefault="006E4D39" w:rsidP="00DF0090">
      <w:pPr>
        <w:tabs>
          <w:tab w:val="left" w:pos="8640"/>
        </w:tabs>
        <w:ind w:left="1440" w:right="1440"/>
        <w:jc w:val="both"/>
      </w:pPr>
      <w:r w:rsidRPr="0082025A">
        <w:br/>
        <w:t>Such was the conviction and hope of most Italian prisoners in the later stages of their part in the war.  Men taken in North Africa were said to have gloated over the prospect of transfer to the United States.  This attitude prevailed among Italians held at </w:t>
      </w:r>
      <w:r w:rsidRPr="003F6912">
        <w:rPr>
          <w:bCs/>
        </w:rPr>
        <w:t>Camp Atterbury</w:t>
      </w:r>
      <w:r w:rsidRPr="0082025A">
        <w:t>.  Many of them expressed the hope of remainin</w:t>
      </w:r>
      <w:r w:rsidR="00DF0090">
        <w:t>g in the country after the war.</w:t>
      </w:r>
      <w:r w:rsidR="00A31025">
        <w:rPr>
          <w:rStyle w:val="FootnoteReference"/>
        </w:rPr>
        <w:footnoteReference w:id="174"/>
      </w:r>
      <w:r w:rsidRPr="0082025A">
        <w:t xml:space="preserve"> </w:t>
      </w:r>
    </w:p>
    <w:p w14:paraId="79B77E4C" w14:textId="0BB3AE9A" w:rsidR="006E4D39" w:rsidRPr="0082025A" w:rsidRDefault="006E4D39" w:rsidP="00D72979">
      <w:pPr>
        <w:tabs>
          <w:tab w:val="left" w:pos="8640"/>
        </w:tabs>
        <w:spacing w:after="160" w:line="360" w:lineRule="auto"/>
        <w:ind w:left="360" w:right="360" w:firstLine="720"/>
        <w:jc w:val="both"/>
      </w:pPr>
      <w:r w:rsidRPr="0082025A">
        <w:br/>
      </w:r>
      <w:r w:rsidR="00DF0090">
        <w:t>While acknowledging that prisoners “</w:t>
      </w:r>
      <w:r w:rsidRPr="0082025A">
        <w:t>should not be abused,</w:t>
      </w:r>
      <w:r w:rsidR="00DF0090">
        <w:t>” the editorial concluded that</w:t>
      </w:r>
      <w:r w:rsidRPr="0082025A">
        <w:t xml:space="preserve"> </w:t>
      </w:r>
      <w:r w:rsidR="00DF0090">
        <w:t>“</w:t>
      </w:r>
      <w:r w:rsidRPr="0082025A">
        <w:t>any violation of rules should result in punishment. Our enemies should be disillusioned of ideas that the United States is a paradise for prisoners.”</w:t>
      </w:r>
      <w:r w:rsidRPr="0082025A">
        <w:rPr>
          <w:rStyle w:val="FootnoteReference"/>
        </w:rPr>
        <w:footnoteReference w:id="175"/>
      </w:r>
    </w:p>
    <w:p w14:paraId="2D1DDA46" w14:textId="0C957D1C" w:rsidR="006C7C89" w:rsidRDefault="00970871" w:rsidP="00D72979">
      <w:pPr>
        <w:tabs>
          <w:tab w:val="left" w:pos="8640"/>
        </w:tabs>
        <w:spacing w:after="160" w:line="360" w:lineRule="auto"/>
        <w:ind w:left="360" w:right="360" w:firstLine="720"/>
        <w:jc w:val="both"/>
      </w:pPr>
      <w:r>
        <w:t xml:space="preserve">Then, in late December of 1944, news reached the United States that </w:t>
      </w:r>
      <w:r w:rsidR="0073158D">
        <w:t xml:space="preserve">members of a German combat unit massacred </w:t>
      </w:r>
      <w:r>
        <w:t>over eight</w:t>
      </w:r>
      <w:r w:rsidR="0073158D">
        <w:t>y American POWs near Malmedy, Belgium.</w:t>
      </w:r>
      <w:r w:rsidR="00A31025">
        <w:rPr>
          <w:rStyle w:val="FootnoteReference"/>
        </w:rPr>
        <w:footnoteReference w:id="176"/>
      </w:r>
      <w:r w:rsidR="0073158D">
        <w:t xml:space="preserve"> </w:t>
      </w:r>
      <w:r w:rsidR="006C7C89">
        <w:rPr>
          <w:rFonts w:eastAsia="Times New Roman" w:cs="Arial"/>
        </w:rPr>
        <w:t>Reports would later surface on the mistreatment afforded other American POWs by German soldiers. “</w:t>
      </w:r>
      <w:r w:rsidR="006C7C89" w:rsidRPr="00ED1205">
        <w:rPr>
          <w:rFonts w:eastAsia="Times New Roman" w:cs="Arial"/>
        </w:rPr>
        <w:t>It was our misfortune to hav</w:t>
      </w:r>
      <w:r w:rsidR="006C7C89">
        <w:rPr>
          <w:rFonts w:eastAsia="Times New Roman" w:cs="Arial"/>
        </w:rPr>
        <w:t>e sadistic and fanatical guards,” wrote Pfc. Kurt Vonnegut to his family on May 29, 1945, following his liberation fro</w:t>
      </w:r>
      <w:r w:rsidR="006259FB">
        <w:rPr>
          <w:rFonts w:eastAsia="Times New Roman" w:cs="Arial"/>
        </w:rPr>
        <w:t>m a Dresden work camp</w:t>
      </w:r>
      <w:r w:rsidR="0097709A">
        <w:rPr>
          <w:rFonts w:eastAsia="Times New Roman" w:cs="Arial"/>
        </w:rPr>
        <w:t xml:space="preserve"> known as</w:t>
      </w:r>
      <w:r w:rsidR="006259FB">
        <w:rPr>
          <w:rFonts w:eastAsia="Times New Roman" w:cs="Arial"/>
        </w:rPr>
        <w:t xml:space="preserve"> </w:t>
      </w:r>
      <w:r w:rsidR="006259FB" w:rsidRPr="006259FB">
        <w:rPr>
          <w:rFonts w:eastAsia="Times New Roman" w:cs="Arial"/>
          <w:i/>
        </w:rPr>
        <w:t>Schlachthaus Fünf</w:t>
      </w:r>
      <w:r w:rsidR="006259FB">
        <w:rPr>
          <w:rFonts w:eastAsia="Times New Roman" w:cs="Arial"/>
        </w:rPr>
        <w:t>.</w:t>
      </w:r>
      <w:r w:rsidR="00A31025">
        <w:rPr>
          <w:rStyle w:val="FootnoteReference"/>
          <w:rFonts w:eastAsia="Times New Roman" w:cs="Arial"/>
        </w:rPr>
        <w:footnoteReference w:id="177"/>
      </w:r>
      <w:r w:rsidR="006C7C89" w:rsidRPr="00ED1205">
        <w:rPr>
          <w:rFonts w:eastAsia="Times New Roman" w:cs="Arial"/>
        </w:rPr>
        <w:t xml:space="preserve"> </w:t>
      </w:r>
      <w:r w:rsidR="006C7C89">
        <w:rPr>
          <w:rFonts w:eastAsia="Times New Roman" w:cs="Arial"/>
        </w:rPr>
        <w:t>“</w:t>
      </w:r>
      <w:r w:rsidR="006C7C89" w:rsidRPr="00ED1205">
        <w:rPr>
          <w:rFonts w:eastAsia="Times New Roman" w:cs="Arial"/>
        </w:rPr>
        <w:t>We were refused</w:t>
      </w:r>
      <w:r w:rsidR="006C7C89">
        <w:rPr>
          <w:rFonts w:eastAsia="Times New Roman" w:cs="Arial"/>
        </w:rPr>
        <w:t xml:space="preserve"> medical attention and clothing[.]</w:t>
      </w:r>
      <w:r w:rsidR="006C7C89" w:rsidRPr="00ED1205">
        <w:rPr>
          <w:rFonts w:eastAsia="Times New Roman" w:cs="Arial"/>
        </w:rPr>
        <w:t xml:space="preserve"> We were given long hours at extremely hard labor. Our food ration was two-hundred-and-fifty grams of black bread and one pint of unseasoned potato soup each day.</w:t>
      </w:r>
      <w:r w:rsidR="006C7C89">
        <w:rPr>
          <w:rFonts w:eastAsia="Times New Roman" w:cs="Arial"/>
        </w:rPr>
        <w:t>”</w:t>
      </w:r>
      <w:r w:rsidR="00A31025">
        <w:rPr>
          <w:rStyle w:val="FootnoteReference"/>
          <w:rFonts w:eastAsia="Times New Roman" w:cs="Arial"/>
        </w:rPr>
        <w:footnoteReference w:id="178"/>
      </w:r>
    </w:p>
    <w:p w14:paraId="6348A55F" w14:textId="501D6A43" w:rsidR="006E4D39" w:rsidRDefault="006C7C89" w:rsidP="00D72979">
      <w:pPr>
        <w:tabs>
          <w:tab w:val="left" w:pos="8640"/>
        </w:tabs>
        <w:spacing w:after="160" w:line="360" w:lineRule="auto"/>
        <w:ind w:left="360" w:right="360" w:firstLine="720"/>
        <w:jc w:val="both"/>
      </w:pPr>
      <w:r>
        <w:t>T</w:t>
      </w:r>
      <w:r w:rsidR="0073158D">
        <w:t xml:space="preserve">he Allied liberation of Nazi death camps at Auschwitz, Dachau, Buchewald, Bergen Belsen, and other sites in 1945 revealed the extent to which </w:t>
      </w:r>
      <w:r w:rsidR="00D922A1">
        <w:t>Germany engaged in war crimes against soldiers and civilians alike</w:t>
      </w:r>
      <w:r w:rsidR="00725D5C">
        <w:t>.</w:t>
      </w:r>
      <w:r w:rsidR="0073158D">
        <w:t xml:space="preserve"> Now, with no practical reason to follow the Geneva Conventions, public criticism of POW treatment in the United States gave way to calls for retribution against the enemy captives</w:t>
      </w:r>
      <w:r w:rsidR="00B44EF8">
        <w:t xml:space="preserve"> on the home front</w:t>
      </w:r>
      <w:r w:rsidR="0073158D">
        <w:t>.</w:t>
      </w:r>
    </w:p>
    <w:p w14:paraId="663A9CF2" w14:textId="405E0B4B" w:rsidR="006E4D39" w:rsidRPr="0082025A" w:rsidRDefault="005A58B6" w:rsidP="00D72979">
      <w:pPr>
        <w:tabs>
          <w:tab w:val="left" w:pos="8640"/>
        </w:tabs>
        <w:spacing w:after="160" w:line="360" w:lineRule="auto"/>
        <w:ind w:left="360" w:right="360" w:firstLine="720"/>
        <w:jc w:val="both"/>
      </w:pPr>
      <w:r>
        <w:t xml:space="preserve">The media response </w:t>
      </w:r>
      <w:r w:rsidR="0073158D">
        <w:t>to these events was</w:t>
      </w:r>
      <w:r>
        <w:t xml:space="preserve"> swift and unrelenting. </w:t>
      </w:r>
      <w:r w:rsidR="00DF0090" w:rsidRPr="009E74C8">
        <w:t xml:space="preserve">Walter </w:t>
      </w:r>
      <w:r w:rsidR="006E4D39" w:rsidRPr="009E74C8">
        <w:t>Winchell</w:t>
      </w:r>
      <w:r w:rsidR="00DF0090">
        <w:t xml:space="preserve">—a prolific </w:t>
      </w:r>
      <w:r w:rsidR="00E9023B">
        <w:t>radio</w:t>
      </w:r>
      <w:r w:rsidR="00DF0090">
        <w:t xml:space="preserve"> </w:t>
      </w:r>
      <w:r w:rsidR="00E9023B">
        <w:t xml:space="preserve">commentator </w:t>
      </w:r>
      <w:r w:rsidR="00DF0090">
        <w:t xml:space="preserve">and </w:t>
      </w:r>
      <w:r w:rsidR="00E9023B">
        <w:t xml:space="preserve">newspaper </w:t>
      </w:r>
      <w:r w:rsidR="00DF0090">
        <w:t>gossip columnist</w:t>
      </w:r>
      <w:r w:rsidR="006E4D39" w:rsidRPr="0082025A">
        <w:t xml:space="preserve"> </w:t>
      </w:r>
      <w:r w:rsidR="00E9023B">
        <w:t xml:space="preserve">known for his </w:t>
      </w:r>
      <w:r>
        <w:t>notoriety-seeking style of tabloid journalism—</w:t>
      </w:r>
      <w:r w:rsidR="00234A22">
        <w:t xml:space="preserve">led the charge in </w:t>
      </w:r>
      <w:r w:rsidR="00E15220">
        <w:t>condemning</w:t>
      </w:r>
      <w:r w:rsidR="00234A22">
        <w:t xml:space="preserve"> government “red tape” and the “one-sided” Geneva Conventions for the “coddling of Nazi prisoners.”</w:t>
      </w:r>
      <w:r w:rsidR="00A31025">
        <w:rPr>
          <w:rStyle w:val="FootnoteReference"/>
        </w:rPr>
        <w:footnoteReference w:id="179"/>
      </w:r>
      <w:r w:rsidR="00234A22">
        <w:t xml:space="preserve"> </w:t>
      </w:r>
      <w:r w:rsidRPr="0082025A">
        <w:t xml:space="preserve">In the spring of 1945, </w:t>
      </w:r>
      <w:r>
        <w:t>Winchell directed his attacks at</w:t>
      </w:r>
      <w:r w:rsidR="00E15220">
        <w:t xml:space="preserve"> Camp Atterbury, criticiz</w:t>
      </w:r>
      <w:r w:rsidR="006E4D39" w:rsidRPr="0082025A">
        <w:t xml:space="preserve">ing </w:t>
      </w:r>
      <w:r w:rsidR="00B44EF8">
        <w:t>it</w:t>
      </w:r>
      <w:r w:rsidR="006E4D39" w:rsidRPr="0082025A">
        <w:t xml:space="preserve"> for, among other things, “employing Germans near an American factory turning out war munitions.”</w:t>
      </w:r>
      <w:r w:rsidR="00A31025">
        <w:rPr>
          <w:rStyle w:val="FootnoteReference"/>
        </w:rPr>
        <w:footnoteReference w:id="180"/>
      </w:r>
      <w:r w:rsidR="006E4D39" w:rsidRPr="0082025A">
        <w:t xml:space="preserve"> Colonel Gammell, in response, persuaded journalist Mary Bostwick to visit the camp, “with free access to everything and anything affecting the camp administration.”</w:t>
      </w:r>
      <w:r w:rsidR="00A31025">
        <w:rPr>
          <w:rStyle w:val="FootnoteReference"/>
        </w:rPr>
        <w:footnoteReference w:id="181"/>
      </w:r>
      <w:r w:rsidR="006E4D39" w:rsidRPr="0082025A">
        <w:t xml:space="preserve"> Her </w:t>
      </w:r>
      <w:r w:rsidR="006E4D39" w:rsidRPr="009E74C8">
        <w:t>report</w:t>
      </w:r>
      <w:r w:rsidR="006E4D39" w:rsidRPr="00F85FEF">
        <w:rPr>
          <w:rStyle w:val="Hyperlink"/>
          <w:color w:val="auto"/>
          <w:u w:val="none"/>
        </w:rPr>
        <w:t>,</w:t>
      </w:r>
      <w:r w:rsidR="006E4D39">
        <w:t xml:space="preserve"> </w:t>
      </w:r>
      <w:r w:rsidR="006E4D39" w:rsidRPr="0082025A">
        <w:t xml:space="preserve">published in the </w:t>
      </w:r>
      <w:r w:rsidR="006E4D39" w:rsidRPr="0082025A">
        <w:rPr>
          <w:i/>
        </w:rPr>
        <w:t>Indianapolis Star</w:t>
      </w:r>
      <w:r w:rsidR="006E4D39" w:rsidRPr="0082025A">
        <w:t xml:space="preserve"> on April 8, 1945</w:t>
      </w:r>
      <w:r w:rsidR="006E4D39">
        <w:t xml:space="preserve">, </w:t>
      </w:r>
      <w:r w:rsidR="00E15220">
        <w:t>discredited the idea that</w:t>
      </w:r>
      <w:r w:rsidR="006E4D39" w:rsidRPr="0082025A">
        <w:t xml:space="preserve"> </w:t>
      </w:r>
      <w:r w:rsidR="00E15220">
        <w:t>German POWs at the camp</w:t>
      </w:r>
      <w:r w:rsidR="006E4D39" w:rsidRPr="0082025A">
        <w:t xml:space="preserve"> </w:t>
      </w:r>
      <w:r w:rsidR="00E15220">
        <w:t>were</w:t>
      </w:r>
      <w:r w:rsidR="006E4D39" w:rsidRPr="0082025A">
        <w:t xml:space="preserve"> </w:t>
      </w:r>
      <w:r w:rsidR="00E15220">
        <w:t>“</w:t>
      </w:r>
      <w:r w:rsidR="006E4D39" w:rsidRPr="0082025A">
        <w:t>leading a carefree country club exist</w:t>
      </w:r>
      <w:r w:rsidR="006E4D39">
        <w:t>ence.</w:t>
      </w:r>
      <w:r w:rsidR="006E4D39" w:rsidRPr="0082025A">
        <w:t>”</w:t>
      </w:r>
      <w:r w:rsidR="00A31025">
        <w:rPr>
          <w:rStyle w:val="FootnoteReference"/>
        </w:rPr>
        <w:footnoteReference w:id="182"/>
      </w:r>
      <w:r w:rsidR="006E4D39" w:rsidRPr="0082025A">
        <w:t xml:space="preserve"> “On the contrary,”</w:t>
      </w:r>
      <w:r w:rsidR="006E4D39">
        <w:t xml:space="preserve"> she wrote,</w:t>
      </w:r>
    </w:p>
    <w:p w14:paraId="71A3E5D9" w14:textId="6ECF564D" w:rsidR="006E4D39" w:rsidRPr="0082025A" w:rsidRDefault="006E4D39" w:rsidP="006E4D39">
      <w:pPr>
        <w:ind w:left="1440" w:right="1440"/>
        <w:jc w:val="both"/>
      </w:pPr>
      <w:r w:rsidRPr="0082025A">
        <w:t xml:space="preserve">they work hard 10 hours a day, they not only pay their own way, but their work on farms, in canning factories, etc., will put about $1,500,000 in the United States Treasury this year, they do a great many of the chores around Camp Atterbury that the American soldier never has been particularly keen about doing, and the fact that they are treated fairly and humanely has </w:t>
      </w:r>
      <w:r>
        <w:t>m</w:t>
      </w:r>
      <w:r w:rsidRPr="0082025A">
        <w:t>ore than returned dividends in the treatment of American prisoners of war in Germany.</w:t>
      </w:r>
      <w:r w:rsidR="00A31025">
        <w:rPr>
          <w:rStyle w:val="FootnoteReference"/>
        </w:rPr>
        <w:footnoteReference w:id="183"/>
      </w:r>
    </w:p>
    <w:p w14:paraId="37B5B24A" w14:textId="77777777" w:rsidR="006E4D39" w:rsidRPr="0082025A" w:rsidRDefault="006E4D39" w:rsidP="006E4D39">
      <w:pPr>
        <w:ind w:right="1440"/>
        <w:jc w:val="both"/>
      </w:pPr>
    </w:p>
    <w:p w14:paraId="62F5C865" w14:textId="4C9CAD11" w:rsidR="00725D5C" w:rsidRDefault="006E4D39" w:rsidP="00D72979">
      <w:pPr>
        <w:spacing w:after="160" w:line="360" w:lineRule="auto"/>
        <w:ind w:left="360" w:right="360"/>
        <w:jc w:val="both"/>
      </w:pPr>
      <w:r w:rsidRPr="0082025A">
        <w:t xml:space="preserve">Bostwick </w:t>
      </w:r>
      <w:r w:rsidR="00E15220">
        <w:t>goes on to remind readers that</w:t>
      </w:r>
      <w:r w:rsidRPr="0082025A">
        <w:t xml:space="preserve"> “the treatment accorded the German PWs is that prescribed by the Geneva Convention, that the Geneva Convention is law, and that the United States Army is administering it.</w:t>
      </w:r>
      <w:r>
        <w:t>”</w:t>
      </w:r>
      <w:r w:rsidR="00A31025">
        <w:rPr>
          <w:rStyle w:val="FootnoteReference"/>
        </w:rPr>
        <w:footnoteReference w:id="184"/>
      </w:r>
      <w:r w:rsidRPr="0082025A">
        <w:t>  The</w:t>
      </w:r>
      <w:r>
        <w:t xml:space="preserve"> POW detention facility at Camp Atterbury, she added, “</w:t>
      </w:r>
      <w:r w:rsidRPr="0082025A">
        <w:t>is run in strict accordance with the Geneva Convention, under firm military discipline and it has the reputation of being one of the model PW camps in th</w:t>
      </w:r>
      <w:r>
        <w:t>e country.”</w:t>
      </w:r>
      <w:r w:rsidR="00A31025">
        <w:rPr>
          <w:rStyle w:val="FootnoteReference"/>
        </w:rPr>
        <w:footnoteReference w:id="185"/>
      </w:r>
      <w:r>
        <w:t xml:space="preserve"> </w:t>
      </w:r>
    </w:p>
    <w:p w14:paraId="26FDD8CC" w14:textId="504E2D0A" w:rsidR="00D84BEC" w:rsidRDefault="00A7022B" w:rsidP="00D72979">
      <w:pPr>
        <w:tabs>
          <w:tab w:val="left" w:pos="8640"/>
        </w:tabs>
        <w:spacing w:after="160" w:line="360" w:lineRule="auto"/>
        <w:ind w:left="360" w:right="360" w:firstLine="720"/>
        <w:jc w:val="both"/>
      </w:pPr>
      <w:r>
        <w:t>In</w:t>
      </w:r>
      <w:r w:rsidR="00E15220" w:rsidRPr="00E15220">
        <w:t xml:space="preserve"> </w:t>
      </w:r>
      <w:r w:rsidR="00E15220">
        <w:t>June of 1945</w:t>
      </w:r>
      <w:r>
        <w:t xml:space="preserve">, </w:t>
      </w:r>
      <w:r w:rsidR="00E15220">
        <w:t xml:space="preserve">responding to growing criticism directed at the War Department’s handling of enemy POWs, </w:t>
      </w:r>
      <w:r>
        <w:t>t</w:t>
      </w:r>
      <w:r w:rsidR="00F95D1A">
        <w:t>he House Committee on Military Affairs</w:t>
      </w:r>
      <w:r w:rsidR="00FD64D7">
        <w:t xml:space="preserve"> issued a</w:t>
      </w:r>
      <w:r w:rsidR="00154164">
        <w:t xml:space="preserve"> second</w:t>
      </w:r>
      <w:r w:rsidR="00FD64D7">
        <w:t xml:space="preserve"> report.</w:t>
      </w:r>
      <w:r w:rsidR="00A31025">
        <w:rPr>
          <w:rStyle w:val="FootnoteReference"/>
        </w:rPr>
        <w:footnoteReference w:id="186"/>
      </w:r>
      <w:r>
        <w:t xml:space="preserve"> </w:t>
      </w:r>
      <w:r w:rsidR="00FD64D7">
        <w:t>“T</w:t>
      </w:r>
      <w:r w:rsidR="00A7348B">
        <w:t>he criticism arises,” the Committee</w:t>
      </w:r>
      <w:r w:rsidR="00FD64D7">
        <w:t xml:space="preserve"> noted, “. . . largely from a lack of understanding of the objectives sought, as well as from a misconception of the basic provisions of the Geneva Convention and applicable international law on which the prisoner-of-war program is of necessity based.”</w:t>
      </w:r>
      <w:r w:rsidR="00A31025">
        <w:rPr>
          <w:rStyle w:val="FootnoteReference"/>
        </w:rPr>
        <w:footnoteReference w:id="187"/>
      </w:r>
      <w:r w:rsidR="00FD64D7">
        <w:t xml:space="preserve"> </w:t>
      </w:r>
      <w:r w:rsidR="005C075E">
        <w:t>While acknowledging that “American prisoners of war [had] been</w:t>
      </w:r>
      <w:r w:rsidR="00313AF4">
        <w:t xml:space="preserve"> badly treated </w:t>
      </w:r>
      <w:r w:rsidR="005C075E">
        <w:t xml:space="preserve">in some places,” the Committee held steadfast in its support of military obligations under </w:t>
      </w:r>
      <w:r w:rsidR="00050726">
        <w:t>the Geneva Conventions</w:t>
      </w:r>
      <w:r w:rsidR="001F2460">
        <w:t>.</w:t>
      </w:r>
      <w:r w:rsidR="00A31025">
        <w:rPr>
          <w:rStyle w:val="FootnoteReference"/>
        </w:rPr>
        <w:footnoteReference w:id="188"/>
      </w:r>
      <w:r w:rsidR="001F2460">
        <w:t xml:space="preserve"> </w:t>
      </w:r>
      <w:r w:rsidR="00584776">
        <w:t>For one thing, adherence to the rule of law had “already paid large dividends.”</w:t>
      </w:r>
      <w:r w:rsidR="00FF7B25">
        <w:rPr>
          <w:rStyle w:val="FootnoteReference"/>
        </w:rPr>
        <w:footnoteReference w:id="189"/>
      </w:r>
      <w:r w:rsidR="00FF7B25">
        <w:t xml:space="preserve"> German </w:t>
      </w:r>
      <w:r w:rsidR="00D84BEC">
        <w:t>soldiers</w:t>
      </w:r>
      <w:r w:rsidR="00FF7B25">
        <w:t>, upon receiving reports from Red Cross authorities that U.S. forces were treating prisoners fairly, became “willing, even eager, to surrender.”</w:t>
      </w:r>
      <w:r w:rsidR="00D84BEC">
        <w:rPr>
          <w:rStyle w:val="FootnoteReference"/>
        </w:rPr>
        <w:footnoteReference w:id="190"/>
      </w:r>
      <w:r w:rsidR="00FF7B25">
        <w:t xml:space="preserve"> Had such reports been fabricated, “victory would have been slower and harder, and a far greater number of Americans killed.”</w:t>
      </w:r>
      <w:r w:rsidR="00FF7B25">
        <w:rPr>
          <w:rStyle w:val="FootnoteReference"/>
        </w:rPr>
        <w:footnoteReference w:id="191"/>
      </w:r>
      <w:r w:rsidR="00FF7B25">
        <w:t xml:space="preserve">  </w:t>
      </w:r>
    </w:p>
    <w:p w14:paraId="37211A98" w14:textId="2A873207" w:rsidR="00411434" w:rsidRDefault="00770615" w:rsidP="00D72979">
      <w:pPr>
        <w:tabs>
          <w:tab w:val="left" w:pos="8640"/>
        </w:tabs>
        <w:spacing w:after="160" w:line="360" w:lineRule="auto"/>
        <w:ind w:left="360" w:right="360" w:firstLine="720"/>
        <w:jc w:val="both"/>
      </w:pPr>
      <w:r>
        <w:t>Yet p</w:t>
      </w:r>
      <w:r w:rsidR="001F2460">
        <w:t xml:space="preserve">erhaps </w:t>
      </w:r>
      <w:r w:rsidR="009027A8">
        <w:t>the most</w:t>
      </w:r>
      <w:r w:rsidR="005C075E">
        <w:t xml:space="preserve"> compelling</w:t>
      </w:r>
      <w:r w:rsidR="00AF6D5B">
        <w:t xml:space="preserve"> reason for</w:t>
      </w:r>
      <w:r>
        <w:t xml:space="preserve"> U.S.</w:t>
      </w:r>
      <w:r w:rsidR="00AF6D5B">
        <w:t xml:space="preserve"> commitment</w:t>
      </w:r>
      <w:r>
        <w:t xml:space="preserve"> to the rule of law—one that transcended the </w:t>
      </w:r>
      <w:r w:rsidR="00A7348B">
        <w:t>principles of the Geneva Convention</w:t>
      </w:r>
      <w:r>
        <w:t>—emerged from</w:t>
      </w:r>
      <w:r w:rsidR="005C075E">
        <w:t xml:space="preserve"> the Committee’s appeal to the </w:t>
      </w:r>
      <w:r>
        <w:t>nation’s</w:t>
      </w:r>
      <w:r w:rsidR="005C075E">
        <w:t xml:space="preserve"> moral </w:t>
      </w:r>
      <w:r w:rsidR="001F2460">
        <w:t xml:space="preserve">and ethical </w:t>
      </w:r>
      <w:r w:rsidR="005C075E">
        <w:t xml:space="preserve">code: </w:t>
      </w:r>
    </w:p>
    <w:p w14:paraId="24703ACB" w14:textId="2094EF6D" w:rsidR="00E237C6" w:rsidRDefault="00411434" w:rsidP="001D7FAD">
      <w:pPr>
        <w:tabs>
          <w:tab w:val="left" w:pos="8640"/>
        </w:tabs>
        <w:ind w:left="1440" w:right="1440"/>
        <w:jc w:val="both"/>
      </w:pPr>
      <w:r>
        <w:t>For us to treat with undue harshness the Germans in our hands would be to adopt the Nazi principle of hostages. The particular men held by us are not necessarily the ones who ill-treated our men in German prison camps. To punish one man for what another has done is not an American principle.</w:t>
      </w:r>
      <w:r>
        <w:rPr>
          <w:rStyle w:val="FootnoteReference"/>
        </w:rPr>
        <w:footnoteReference w:id="192"/>
      </w:r>
    </w:p>
    <w:p w14:paraId="3D027406" w14:textId="77777777" w:rsidR="00B154A0" w:rsidRDefault="00B154A0" w:rsidP="00AF6D5B">
      <w:pPr>
        <w:tabs>
          <w:tab w:val="left" w:pos="8640"/>
        </w:tabs>
      </w:pPr>
    </w:p>
    <w:p w14:paraId="657A8649" w14:textId="1F970BAA" w:rsidR="0097308A" w:rsidRDefault="00AF6D5B" w:rsidP="00D72979">
      <w:pPr>
        <w:spacing w:after="160" w:line="360" w:lineRule="auto"/>
        <w:ind w:left="360" w:right="360"/>
        <w:jc w:val="both"/>
      </w:pPr>
      <w:r>
        <w:t>In the end</w:t>
      </w:r>
      <w:r w:rsidR="00B154A0">
        <w:t>, the</w:t>
      </w:r>
      <w:r w:rsidR="00D72979">
        <w:t xml:space="preserve">se words would carry the day. Despite calls for retaliation, and strong criticism of U.S. </w:t>
      </w:r>
      <w:r w:rsidR="009027A8">
        <w:t xml:space="preserve">military </w:t>
      </w:r>
      <w:r w:rsidR="00D72979">
        <w:t xml:space="preserve">policy, the rule of law would ultimately prevail. </w:t>
      </w:r>
    </w:p>
    <w:p w14:paraId="478E283A" w14:textId="165F6628" w:rsidR="00B154A0" w:rsidRPr="008B0C60" w:rsidRDefault="0097308A" w:rsidP="00D72979">
      <w:pPr>
        <w:spacing w:after="160" w:line="360" w:lineRule="auto"/>
        <w:ind w:left="360" w:right="360"/>
        <w:jc w:val="center"/>
        <w:rPr>
          <w:b/>
          <w:bCs/>
          <w:smallCaps/>
        </w:rPr>
      </w:pPr>
      <w:r w:rsidRPr="008B0C60">
        <w:rPr>
          <w:b/>
          <w:bCs/>
          <w:smallCaps/>
        </w:rPr>
        <w:t>4. Conclusion</w:t>
      </w:r>
    </w:p>
    <w:p w14:paraId="55A52C17" w14:textId="7DEB27F5" w:rsidR="00C71560" w:rsidRDefault="002470B2" w:rsidP="00D72979">
      <w:pPr>
        <w:spacing w:after="160" w:line="360" w:lineRule="auto"/>
        <w:ind w:left="360" w:right="360" w:firstLine="720"/>
        <w:jc w:val="both"/>
      </w:pPr>
      <w:r w:rsidRPr="00770615">
        <w:t>World War II represented America’s finest hour in its treatment of enemy POWs.</w:t>
      </w:r>
      <w:r w:rsidR="00C71560" w:rsidRPr="00770615">
        <w:t xml:space="preserve"> </w:t>
      </w:r>
      <w:r w:rsidR="00B154A0" w:rsidRPr="00770615">
        <w:t xml:space="preserve">Problems certainly arose in the </w:t>
      </w:r>
      <w:r w:rsidR="00C71560" w:rsidRPr="00770615">
        <w:t>process</w:t>
      </w:r>
      <w:r w:rsidR="00B154A0" w:rsidRPr="00770615">
        <w:t>, leading to occasional failures in upholding the rule of law; however, as Robert Doyle observes, “[i]f the Americans failed to attain the moral high ground during this era, it was through sins of omission rather than commission.”</w:t>
      </w:r>
      <w:r w:rsidR="00B154A0" w:rsidRPr="00770615">
        <w:rPr>
          <w:rStyle w:val="FootnoteReference"/>
        </w:rPr>
        <w:footnoteReference w:id="193"/>
      </w:r>
      <w:r w:rsidR="00B154A0" w:rsidRPr="00770615">
        <w:t xml:space="preserve"> Overall, the United States exceeded its obligations under the Geneva Conventions, maintaining its historical reputation among the global community as a torchbearer in advancing the principles of international humanitarian law</w:t>
      </w:r>
      <w:r w:rsidR="00D43B94" w:rsidRPr="00770615">
        <w:t xml:space="preserve">, a status </w:t>
      </w:r>
      <w:r w:rsidR="009027A8">
        <w:t xml:space="preserve">for </w:t>
      </w:r>
      <w:r w:rsidR="00D43B94" w:rsidRPr="00770615">
        <w:t xml:space="preserve">which </w:t>
      </w:r>
      <w:r w:rsidR="009027A8">
        <w:t xml:space="preserve">the nation </w:t>
      </w:r>
      <w:r w:rsidR="00D43B94" w:rsidRPr="00770615">
        <w:t xml:space="preserve">enjoyed </w:t>
      </w:r>
      <w:r w:rsidR="009027A8">
        <w:t>wide</w:t>
      </w:r>
      <w:r w:rsidR="00D43B94" w:rsidRPr="00770615">
        <w:t xml:space="preserve"> recognition—domestically and abroad—for most of the twentieth century</w:t>
      </w:r>
      <w:r w:rsidR="00B154A0" w:rsidRPr="00770615">
        <w:t>.</w:t>
      </w:r>
      <w:r w:rsidR="00D43B94" w:rsidRPr="00770615">
        <w:rPr>
          <w:rStyle w:val="FootnoteReference"/>
        </w:rPr>
        <w:footnoteReference w:id="194"/>
      </w:r>
    </w:p>
    <w:p w14:paraId="03123B89" w14:textId="4168DCBD" w:rsidR="00B154A0" w:rsidRPr="00D72979" w:rsidRDefault="00C71560" w:rsidP="00D72979">
      <w:pPr>
        <w:spacing w:after="160" w:line="360" w:lineRule="auto"/>
        <w:ind w:left="360" w:right="360" w:firstLine="720"/>
        <w:jc w:val="both"/>
        <w:rPr>
          <w:bCs/>
        </w:rPr>
      </w:pPr>
      <w:r>
        <w:t>T</w:t>
      </w:r>
      <w:r w:rsidR="00B154A0">
        <w:t>he experience</w:t>
      </w:r>
      <w:r>
        <w:t xml:space="preserve"> in Indiana</w:t>
      </w:r>
      <w:r w:rsidR="00A90B43">
        <w:t xml:space="preserve"> </w:t>
      </w:r>
      <w:r w:rsidR="00A15883">
        <w:t>exemplified</w:t>
      </w:r>
      <w:r>
        <w:t xml:space="preserve"> the nation’s model conduct</w:t>
      </w:r>
      <w:r w:rsidR="000D6B15">
        <w:t xml:space="preserve"> towards its enemy captives, the effects of which cannot be overemphasized.</w:t>
      </w:r>
      <w:r w:rsidR="00B154A0">
        <w:t xml:space="preserve"> </w:t>
      </w:r>
      <w:r w:rsidR="000D6B15">
        <w:t>In a “special edition” of</w:t>
      </w:r>
      <w:r w:rsidR="00B154A0">
        <w:t xml:space="preserve"> </w:t>
      </w:r>
      <w:r w:rsidR="000D6B15" w:rsidRPr="00D248B2">
        <w:rPr>
          <w:i/>
        </w:rPr>
        <w:t>Lagerstimme</w:t>
      </w:r>
      <w:r w:rsidR="000D6B15">
        <w:t xml:space="preserve">, Camp Atterbury’s POW newsletter, </w:t>
      </w:r>
      <w:r w:rsidR="00A90B43">
        <w:t xml:space="preserve">the comments of </w:t>
      </w:r>
      <w:r w:rsidR="000D6B15">
        <w:t xml:space="preserve">former German prisoners </w:t>
      </w:r>
      <w:r w:rsidR="00A90B43">
        <w:t>are especially revealing</w:t>
      </w:r>
      <w:r w:rsidR="00B154A0">
        <w:t xml:space="preserve">: </w:t>
      </w:r>
    </w:p>
    <w:p w14:paraId="6D82B2EF" w14:textId="77777777" w:rsidR="00B154A0" w:rsidRDefault="00B154A0" w:rsidP="00B154A0">
      <w:pPr>
        <w:ind w:left="1440" w:right="1440"/>
        <w:jc w:val="both"/>
      </w:pPr>
      <w:r>
        <w:t>With this modest mark of appreciation the prisoners of war wish to express their gratitude to the officers of the camp, and to Colonel Gammel whose relentless consideration of our welfare, wise leadership, and fair, just and strict administration effected such an unhampered and successful cooperation during two years of our captivity in the United States.</w:t>
      </w:r>
    </w:p>
    <w:p w14:paraId="4A17758F" w14:textId="77777777" w:rsidR="00B154A0" w:rsidRDefault="00B154A0" w:rsidP="00B154A0">
      <w:pPr>
        <w:ind w:left="1440" w:right="1440"/>
        <w:jc w:val="both"/>
      </w:pPr>
    </w:p>
    <w:p w14:paraId="6698C68A" w14:textId="72AD7F76" w:rsidR="00AF6D5B" w:rsidRDefault="00B154A0" w:rsidP="00010D71">
      <w:pPr>
        <w:ind w:left="1440" w:right="1440"/>
        <w:jc w:val="both"/>
      </w:pPr>
      <w:r>
        <w:t>The Commanding Officer may rest assured that we shall depart from this camp with the best impressions of the United States Army and the country it represents. These years in America will certainly exert an important influence upon the future shape of our homeland which will undoubtedly be the best tribute to the activities of the Commanding Officer.</w:t>
      </w:r>
      <w:r>
        <w:rPr>
          <w:rStyle w:val="FootnoteReference"/>
        </w:rPr>
        <w:footnoteReference w:id="195"/>
      </w:r>
    </w:p>
    <w:p w14:paraId="0810E415" w14:textId="77777777" w:rsidR="00A15883" w:rsidRDefault="00A15883" w:rsidP="00BF611D">
      <w:pPr>
        <w:rPr>
          <w:b/>
        </w:rPr>
      </w:pPr>
    </w:p>
    <w:p w14:paraId="040D0837" w14:textId="414AFC33" w:rsidR="003B04D6" w:rsidRPr="003B04D6" w:rsidRDefault="00CA46EA" w:rsidP="009E62A3">
      <w:pPr>
        <w:spacing w:after="160" w:line="360" w:lineRule="auto"/>
        <w:ind w:left="360" w:right="360"/>
        <w:jc w:val="both"/>
      </w:pPr>
      <w:r>
        <w:t xml:space="preserve">Despite </w:t>
      </w:r>
      <w:r w:rsidRPr="00197625">
        <w:t>the circumstances of their</w:t>
      </w:r>
      <w:r>
        <w:t xml:space="preserve"> </w:t>
      </w:r>
      <w:r w:rsidRPr="00197625">
        <w:t>internment</w:t>
      </w:r>
      <w:r>
        <w:t>, the overall positive experience of these prisoners, like thousands of others</w:t>
      </w:r>
      <w:r w:rsidR="00A90B43">
        <w:t xml:space="preserve"> in the United States</w:t>
      </w:r>
      <w:r>
        <w:t>,</w:t>
      </w:r>
      <w:r w:rsidR="00E87CAA">
        <w:t xml:space="preserve"> impressed upon them a strong sense of admiration for </w:t>
      </w:r>
      <w:r w:rsidR="00F571C1">
        <w:t>the American way of life.</w:t>
      </w:r>
      <w:r w:rsidR="00E87CAA">
        <w:t xml:space="preserve"> </w:t>
      </w:r>
    </w:p>
    <w:p w14:paraId="72BD6D5F" w14:textId="0300E5F9" w:rsidR="00D96879" w:rsidRPr="00B644EB" w:rsidRDefault="00D96879" w:rsidP="00D96879">
      <w:pPr>
        <w:spacing w:after="160" w:line="360" w:lineRule="auto"/>
        <w:ind w:left="360" w:right="360"/>
        <w:jc w:val="center"/>
        <w:rPr>
          <w:b/>
          <w:bCs/>
          <w:smallCaps/>
        </w:rPr>
      </w:pPr>
      <w:r w:rsidRPr="00B644EB">
        <w:rPr>
          <w:b/>
          <w:bCs/>
          <w:smallCaps/>
        </w:rPr>
        <w:t>Moving Forward</w:t>
      </w:r>
      <w:r w:rsidR="00B644EB" w:rsidRPr="00B644EB">
        <w:rPr>
          <w:b/>
          <w:bCs/>
          <w:smallCaps/>
        </w:rPr>
        <w:t xml:space="preserve">, </w:t>
      </w:r>
      <w:r w:rsidRPr="00B644EB">
        <w:rPr>
          <w:b/>
          <w:bCs/>
          <w:smallCaps/>
        </w:rPr>
        <w:t>Looking Back</w:t>
      </w:r>
    </w:p>
    <w:p w14:paraId="495A48ED" w14:textId="21E5BEA4" w:rsidR="00F30392" w:rsidRDefault="00A15883" w:rsidP="00D72979">
      <w:pPr>
        <w:spacing w:after="160" w:line="360" w:lineRule="auto"/>
        <w:ind w:left="360" w:right="360" w:firstLine="720"/>
        <w:jc w:val="both"/>
      </w:pPr>
      <w:r w:rsidRPr="00A50CE4">
        <w:t>At the conclusion of the War, the POW program in the United States officially came to a close</w:t>
      </w:r>
      <w:r w:rsidR="00385D40" w:rsidRPr="00A50CE4">
        <w:t xml:space="preserve"> and the </w:t>
      </w:r>
      <w:r w:rsidR="00A75ADA" w:rsidRPr="00A50CE4">
        <w:t xml:space="preserve">gradual </w:t>
      </w:r>
      <w:r w:rsidR="00385D40" w:rsidRPr="00A50CE4">
        <w:t>process of repatriation began</w:t>
      </w:r>
      <w:r w:rsidRPr="00A50CE4">
        <w:t>.</w:t>
      </w:r>
      <w:r w:rsidR="00D96FB6" w:rsidRPr="00A50CE4">
        <w:rPr>
          <w:rStyle w:val="FootnoteReference"/>
        </w:rPr>
        <w:footnoteReference w:id="196"/>
      </w:r>
      <w:r w:rsidR="00A50CE0" w:rsidRPr="00A50CE4">
        <w:t xml:space="preserve"> </w:t>
      </w:r>
      <w:r w:rsidRPr="00A50CE4">
        <w:t xml:space="preserve">With the dismantling of </w:t>
      </w:r>
      <w:r w:rsidR="000A257A" w:rsidRPr="00A50CE4">
        <w:t xml:space="preserve">prison </w:t>
      </w:r>
      <w:r w:rsidRPr="00A50CE4">
        <w:t>camps and the passage of time, this chapter in American history gradual</w:t>
      </w:r>
      <w:r w:rsidR="000A257A" w:rsidRPr="00A50CE4">
        <w:t>ly receded from public memory. Today, s</w:t>
      </w:r>
      <w:r w:rsidR="00534D66" w:rsidRPr="00A50CE4">
        <w:t xml:space="preserve">ave for </w:t>
      </w:r>
      <w:r w:rsidRPr="00A50CE4">
        <w:t>the occasional chapel</w:t>
      </w:r>
      <w:r w:rsidR="00534D66" w:rsidRPr="00A50CE4">
        <w:t xml:space="preserve"> or small cemetery</w:t>
      </w:r>
      <w:r w:rsidRPr="00A50CE4">
        <w:t>, the physical landscape furnishes little evidence of where the</w:t>
      </w:r>
      <w:r w:rsidR="00534D66" w:rsidRPr="00A50CE4">
        <w:t>se</w:t>
      </w:r>
      <w:r w:rsidRPr="00A50CE4">
        <w:t xml:space="preserve"> prisoner</w:t>
      </w:r>
      <w:r w:rsidR="00534D66" w:rsidRPr="00A50CE4">
        <w:t>s</w:t>
      </w:r>
      <w:r w:rsidRPr="00A50CE4">
        <w:t xml:space="preserve"> </w:t>
      </w:r>
      <w:r w:rsidR="00534D66" w:rsidRPr="00A50CE4">
        <w:t>once lived, labored, worshipped, played, and mourned their deceased compatriots</w:t>
      </w:r>
      <w:r w:rsidRPr="00A50CE4">
        <w:t>.</w:t>
      </w:r>
      <w:r w:rsidR="009C1078">
        <w:t xml:space="preserve"> </w:t>
      </w:r>
    </w:p>
    <w:p w14:paraId="221DE1CA" w14:textId="29E4E7D1" w:rsidR="00BE2B25" w:rsidRDefault="000008C4" w:rsidP="00D72979">
      <w:pPr>
        <w:spacing w:after="160" w:line="360" w:lineRule="auto"/>
        <w:ind w:left="360" w:right="360" w:firstLine="720"/>
        <w:jc w:val="both"/>
      </w:pPr>
      <w:r>
        <w:t xml:space="preserve">And yet, </w:t>
      </w:r>
      <w:r w:rsidR="00BB014A">
        <w:t>with each passing generation</w:t>
      </w:r>
      <w:r w:rsidR="00A75ADA">
        <w:t>, the narrative</w:t>
      </w:r>
      <w:r w:rsidR="00207ED1">
        <w:t xml:space="preserve"> persists</w:t>
      </w:r>
      <w:r w:rsidR="00D43B94">
        <w:t xml:space="preserve">, </w:t>
      </w:r>
      <w:r w:rsidR="00A75ADA">
        <w:t>constantly evolving to elicit</w:t>
      </w:r>
      <w:r w:rsidR="00D43B94">
        <w:t xml:space="preserve"> complex moral and legal questions</w:t>
      </w:r>
      <w:r w:rsidR="00B57DE3">
        <w:t xml:space="preserve"> </w:t>
      </w:r>
      <w:r w:rsidR="00D43B94">
        <w:t>that</w:t>
      </w:r>
      <w:r w:rsidR="00B57DE3">
        <w:t xml:space="preserve"> Hoosiers and other Americans</w:t>
      </w:r>
      <w:r w:rsidR="00D43B94">
        <w:t xml:space="preserve"> continue to wrestle with</w:t>
      </w:r>
      <w:r w:rsidR="00A75ADA">
        <w:t>.</w:t>
      </w:r>
      <w:r w:rsidR="00F30392">
        <w:t xml:space="preserve"> </w:t>
      </w:r>
      <w:r w:rsidR="007C4512">
        <w:t>What constitutes an act of war</w:t>
      </w:r>
      <w:r w:rsidR="0095167B">
        <w:t xml:space="preserve"> or armed conflict</w:t>
      </w:r>
      <w:r w:rsidR="007C4512">
        <w:t xml:space="preserve">? </w:t>
      </w:r>
      <w:r w:rsidR="00C73C24">
        <w:t>Does</w:t>
      </w:r>
      <w:r w:rsidR="00B07F1C">
        <w:t xml:space="preserve"> </w:t>
      </w:r>
      <w:r w:rsidR="006036D2">
        <w:t>IHL</w:t>
      </w:r>
      <w:r w:rsidR="00B07F1C">
        <w:t xml:space="preserve"> </w:t>
      </w:r>
      <w:r w:rsidR="00C73C24">
        <w:t>entitle</w:t>
      </w:r>
      <w:r w:rsidR="007C4512">
        <w:t xml:space="preserve"> </w:t>
      </w:r>
      <w:r w:rsidR="00D24C60">
        <w:t>“irregular” combatants</w:t>
      </w:r>
      <w:r w:rsidR="00C73C24">
        <w:t xml:space="preserve">—such </w:t>
      </w:r>
      <w:r w:rsidR="006036D2">
        <w:t xml:space="preserve">as spies, saboteurs, guerrillas, </w:t>
      </w:r>
      <w:r w:rsidR="0095167B">
        <w:t xml:space="preserve">mercenaries, </w:t>
      </w:r>
      <w:r w:rsidR="006036D2">
        <w:t>or terrorists</w:t>
      </w:r>
      <w:r w:rsidR="00C73C24">
        <w:t>—to POW status</w:t>
      </w:r>
      <w:r w:rsidR="00D24C60">
        <w:t>?</w:t>
      </w:r>
      <w:r w:rsidR="006410A1">
        <w:t xml:space="preserve"> </w:t>
      </w:r>
      <w:r w:rsidR="00C73C24">
        <w:t xml:space="preserve">If not, how should these combatants be treated? </w:t>
      </w:r>
      <w:r w:rsidR="000C0EDE">
        <w:t xml:space="preserve">Are they entitled to any protections under the law? Is torture permissible in order to acquire important military information? </w:t>
      </w:r>
    </w:p>
    <w:p w14:paraId="12068627" w14:textId="406D8DF9" w:rsidR="00BE2B25" w:rsidRDefault="00FC79F8" w:rsidP="00D72979">
      <w:pPr>
        <w:spacing w:after="160" w:line="360" w:lineRule="auto"/>
        <w:ind w:left="360" w:right="360" w:firstLine="720"/>
        <w:jc w:val="both"/>
      </w:pPr>
      <w:r>
        <w:t>I</w:t>
      </w:r>
      <w:r w:rsidR="00BE2B25">
        <w:t>n 1949</w:t>
      </w:r>
      <w:r>
        <w:t xml:space="preserve">, as the world continued </w:t>
      </w:r>
      <w:r w:rsidR="0095167B">
        <w:t>rebuilding from the ruins of World War II</w:t>
      </w:r>
      <w:r>
        <w:t>,</w:t>
      </w:r>
      <w:r w:rsidR="00BE2B25">
        <w:t xml:space="preserve"> </w:t>
      </w:r>
      <w:r>
        <w:t xml:space="preserve">state delegates convened </w:t>
      </w:r>
      <w:r w:rsidR="00BE2B25">
        <w:t>to assess the effectiveness of the Geneva Conventions in mitigating the atrocities of armed conflict. The conference resulted in extensive revisions to the existing treaties</w:t>
      </w:r>
      <w:r w:rsidR="00A31025">
        <w:rPr>
          <w:rStyle w:val="FootnoteReference"/>
        </w:rPr>
        <w:footnoteReference w:id="197"/>
      </w:r>
      <w:r w:rsidR="00BE2B25">
        <w:t xml:space="preserve"> and the </w:t>
      </w:r>
      <w:r w:rsidR="00BE2B25" w:rsidRPr="00FB140C">
        <w:t xml:space="preserve">implementation of two additional conventions: one to </w:t>
      </w:r>
      <w:r w:rsidR="00BE2B25" w:rsidRPr="00FB140C">
        <w:rPr>
          <w:bCs/>
        </w:rPr>
        <w:t>protect wounded, sick, and shipwrecked military personnel at sea during war;</w:t>
      </w:r>
      <w:r w:rsidR="00A31025">
        <w:rPr>
          <w:rStyle w:val="FootnoteReference"/>
          <w:bCs/>
        </w:rPr>
        <w:footnoteReference w:id="198"/>
      </w:r>
      <w:r w:rsidR="00BE2B25" w:rsidRPr="00FB140C">
        <w:rPr>
          <w:bCs/>
        </w:rPr>
        <w:t xml:space="preserve"> and the other to protect civilians, including those in occupied territory</w:t>
      </w:r>
      <w:r w:rsidR="000E1E22">
        <w:rPr>
          <w:rStyle w:val="FootnoteReference"/>
        </w:rPr>
        <w:footnoteReference w:id="199"/>
      </w:r>
      <w:r w:rsidR="00BE2B25" w:rsidRPr="00FB140C">
        <w:rPr>
          <w:bCs/>
        </w:rPr>
        <w:t>—a direct response to the Nazi atrocities committed against Jewish peoples and other minority groups.</w:t>
      </w:r>
      <w:r w:rsidR="00BE2B25">
        <w:rPr>
          <w:bCs/>
        </w:rPr>
        <w:t xml:space="preserve"> </w:t>
      </w:r>
      <w:r w:rsidR="00BE2B25">
        <w:t xml:space="preserve">Changes to the </w:t>
      </w:r>
      <w:r w:rsidR="00BE2B25" w:rsidRPr="00176A0B">
        <w:t>Convention Relative to the Treatment of Prisoners of War</w:t>
      </w:r>
      <w:r w:rsidR="00BE2B25">
        <w:t xml:space="preserve"> included expanded </w:t>
      </w:r>
      <w:r w:rsidR="00BE2B25" w:rsidRPr="00176A0B">
        <w:t xml:space="preserve">categories of persons entitled to </w:t>
      </w:r>
      <w:r w:rsidR="00BE2B25">
        <w:t>POW status,</w:t>
      </w:r>
      <w:r w:rsidR="00D91804">
        <w:rPr>
          <w:rStyle w:val="FootnoteReference"/>
        </w:rPr>
        <w:footnoteReference w:id="200"/>
      </w:r>
      <w:r w:rsidR="00BE2B25">
        <w:t xml:space="preserve"> and refined definitions of the conditions and places of captivity,</w:t>
      </w:r>
      <w:r w:rsidR="00C73A3D">
        <w:rPr>
          <w:rStyle w:val="FootnoteReference"/>
        </w:rPr>
        <w:footnoteReference w:id="201"/>
      </w:r>
      <w:r w:rsidR="00BE2B25">
        <w:t xml:space="preserve"> especially in relation to prisoner labor</w:t>
      </w:r>
      <w:r w:rsidR="005D3CF0">
        <w:rPr>
          <w:rStyle w:val="FootnoteReference"/>
        </w:rPr>
        <w:footnoteReference w:id="202"/>
      </w:r>
      <w:r w:rsidR="00BE2B25" w:rsidRPr="00176A0B">
        <w:t xml:space="preserve"> </w:t>
      </w:r>
      <w:r w:rsidR="00BE2B25">
        <w:t>and</w:t>
      </w:r>
      <w:r w:rsidR="00BE2B25" w:rsidRPr="00176A0B">
        <w:t xml:space="preserve"> </w:t>
      </w:r>
      <w:r w:rsidR="00BE2B25">
        <w:t xml:space="preserve">judicial </w:t>
      </w:r>
      <w:r w:rsidR="00BE2B25" w:rsidRPr="00176A0B">
        <w:t xml:space="preserve">relief </w:t>
      </w:r>
      <w:r w:rsidR="00BE2B25">
        <w:t>in cases of prosecution</w:t>
      </w:r>
      <w:r w:rsidR="00BE2B25" w:rsidRPr="00176A0B">
        <w:t>.</w:t>
      </w:r>
      <w:r w:rsidR="00BE2B25">
        <w:rPr>
          <w:rStyle w:val="FootnoteReference"/>
        </w:rPr>
        <w:footnoteReference w:id="203"/>
      </w:r>
      <w:r w:rsidR="00BE2B25">
        <w:t xml:space="preserve"> All four of the </w:t>
      </w:r>
      <w:r w:rsidR="00BE2B25" w:rsidRPr="009E74C8">
        <w:t>1949 Geneva Conventions</w:t>
      </w:r>
      <w:r w:rsidR="00BE2B25">
        <w:t>, to which every country is a party, remain in force today.</w:t>
      </w:r>
      <w:r w:rsidR="00BA522E">
        <w:rPr>
          <w:rStyle w:val="FootnoteReference"/>
        </w:rPr>
        <w:footnoteReference w:id="204"/>
      </w:r>
      <w:r w:rsidR="00BE2B25" w:rsidRPr="00116B52">
        <w:t xml:space="preserve"> </w:t>
      </w:r>
    </w:p>
    <w:p w14:paraId="6F6BD46D" w14:textId="6198CAA0" w:rsidR="00BE2B25" w:rsidRDefault="00BE2B25" w:rsidP="00D72979">
      <w:pPr>
        <w:spacing w:after="160" w:line="360" w:lineRule="auto"/>
        <w:ind w:left="360" w:right="360" w:firstLine="720"/>
        <w:jc w:val="both"/>
      </w:pPr>
      <w:r>
        <w:t xml:space="preserve">Subsequent </w:t>
      </w:r>
      <w:r w:rsidRPr="00815460">
        <w:t>developments in</w:t>
      </w:r>
      <w:r>
        <w:t xml:space="preserve"> </w:t>
      </w:r>
      <w:r w:rsidRPr="00815460">
        <w:t xml:space="preserve">the character of </w:t>
      </w:r>
      <w:r>
        <w:t>armed conflict—including technological advancements in weaponry and the growing use of guerrilla warfare—called for supplementary humanitarian protections. The Additional Protocols of 1977 are the culmination of efforts to adapt the laws of war to contemporary needs. Addi</w:t>
      </w:r>
      <w:r w:rsidR="00E74FFD">
        <w:t>tional Protocol I (AP I) expanded</w:t>
      </w:r>
      <w:r>
        <w:t xml:space="preserve"> the category of “lawful belligerents” and requires c</w:t>
      </w:r>
      <w:r w:rsidRPr="00AA0D4D">
        <w:t xml:space="preserve">ombatants </w:t>
      </w:r>
      <w:r>
        <w:t>to</w:t>
      </w:r>
      <w:r w:rsidRPr="00AA0D4D">
        <w:t xml:space="preserve"> </w:t>
      </w:r>
      <w:r>
        <w:t>use all practical</w:t>
      </w:r>
      <w:r w:rsidRPr="00AA0D4D">
        <w:t xml:space="preserve"> </w:t>
      </w:r>
      <w:r>
        <w:t>safeguards</w:t>
      </w:r>
      <w:r w:rsidRPr="00AA0D4D">
        <w:t xml:space="preserve"> t</w:t>
      </w:r>
      <w:r>
        <w:t>o avoid incidental loss of life.</w:t>
      </w:r>
      <w:r>
        <w:rPr>
          <w:rStyle w:val="FootnoteReference"/>
        </w:rPr>
        <w:footnoteReference w:id="205"/>
      </w:r>
      <w:r>
        <w:t xml:space="preserve"> Additional Protocol II (AP II), which deals</w:t>
      </w:r>
      <w:r w:rsidRPr="00AA0D4D">
        <w:t xml:space="preserve"> </w:t>
      </w:r>
      <w:r>
        <w:t xml:space="preserve">with </w:t>
      </w:r>
      <w:r w:rsidRPr="00AA0D4D">
        <w:t>non-international armed conflicts</w:t>
      </w:r>
      <w:r>
        <w:t xml:space="preserve">, aims to </w:t>
      </w:r>
      <w:r w:rsidRPr="00EE7FC7">
        <w:t xml:space="preserve">extend the essential rules of </w:t>
      </w:r>
      <w:r>
        <w:t>international humanitarian law</w:t>
      </w:r>
      <w:r w:rsidRPr="00EE7FC7">
        <w:t xml:space="preserve"> to internal</w:t>
      </w:r>
      <w:r>
        <w:t xml:space="preserve"> (or “civil”)</w:t>
      </w:r>
      <w:r w:rsidRPr="00EE7FC7">
        <w:t xml:space="preserve"> wars.</w:t>
      </w:r>
      <w:r>
        <w:rPr>
          <w:rStyle w:val="FootnoteReference"/>
        </w:rPr>
        <w:footnoteReference w:id="206"/>
      </w:r>
      <w:r>
        <w:t xml:space="preserve"> </w:t>
      </w:r>
      <w:r w:rsidR="00E74FFD">
        <w:t>Both measures</w:t>
      </w:r>
      <w:r>
        <w:t xml:space="preserve"> apply to civilians and combatants alike and impose greater obligations on warring parties to distinguish between the two.</w:t>
      </w:r>
      <w:r>
        <w:rPr>
          <w:rStyle w:val="FootnoteReference"/>
        </w:rPr>
        <w:footnoteReference w:id="207"/>
      </w:r>
      <w:r>
        <w:t xml:space="preserve"> A</w:t>
      </w:r>
      <w:r w:rsidRPr="002332C2">
        <w:t xml:space="preserve"> third </w:t>
      </w:r>
      <w:r>
        <w:t xml:space="preserve">additional </w:t>
      </w:r>
      <w:r w:rsidRPr="002332C2">
        <w:t>protocol</w:t>
      </w:r>
      <w:r>
        <w:t xml:space="preserve"> (AP III), adopted in 2005, established</w:t>
      </w:r>
      <w:r w:rsidRPr="002332C2">
        <w:t xml:space="preserve"> a new emblem, the red crystal, which </w:t>
      </w:r>
      <w:r>
        <w:t>corresponds</w:t>
      </w:r>
      <w:r w:rsidRPr="002332C2">
        <w:t xml:space="preserve"> in status to the red cross and red crescent.</w:t>
      </w:r>
      <w:r>
        <w:rPr>
          <w:rStyle w:val="FootnoteReference"/>
        </w:rPr>
        <w:footnoteReference w:id="208"/>
      </w:r>
      <w:r>
        <w:t xml:space="preserve"> The United States, while a state party to AP III, has not ratified APs I or II.</w:t>
      </w:r>
      <w:r w:rsidR="00466CA0">
        <w:rPr>
          <w:rStyle w:val="FootnoteReference"/>
        </w:rPr>
        <w:footnoteReference w:id="209"/>
      </w:r>
    </w:p>
    <w:p w14:paraId="0E22AAF1" w14:textId="09B4A434" w:rsidR="009925B0" w:rsidRDefault="00BE2B25" w:rsidP="00D72979">
      <w:pPr>
        <w:spacing w:after="160" w:line="360" w:lineRule="auto"/>
        <w:ind w:left="360" w:right="360" w:firstLine="720"/>
        <w:jc w:val="both"/>
      </w:pPr>
      <w:r>
        <w:t>Despite these advances in IHL, t</w:t>
      </w:r>
      <w:r w:rsidRPr="00EC62C2">
        <w:t xml:space="preserve">he </w:t>
      </w:r>
      <w:r>
        <w:t xml:space="preserve">lack of precision in defining war—seldom a </w:t>
      </w:r>
      <w:r w:rsidR="009925B0">
        <w:t>s</w:t>
      </w:r>
      <w:r>
        <w:t xml:space="preserve">tate of </w:t>
      </w:r>
      <w:r w:rsidR="00D96879">
        <w:t xml:space="preserve">officially </w:t>
      </w:r>
      <w:r w:rsidR="009925B0">
        <w:t xml:space="preserve">declared </w:t>
      </w:r>
      <w:r>
        <w:t>armed conflict—raises difficult questions over the context in which the Geneva Conventions apply. In seeking to avoid interpretive ambiguities, Common Article 2</w:t>
      </w:r>
      <w:r w:rsidR="00466CA0">
        <w:t xml:space="preserve"> (so called because each of the four Geneva Conventions shares the same provision)</w:t>
      </w:r>
      <w:r>
        <w:t xml:space="preserve"> states that “</w:t>
      </w:r>
      <w:r w:rsidRPr="00FC04D5">
        <w:t>the present Convent</w:t>
      </w:r>
      <w:r>
        <w:t xml:space="preserve">ion shall apply to all cases of </w:t>
      </w:r>
      <w:r w:rsidRPr="00FC04D5">
        <w:t>declared war or of any other armed conflict which may arise between two</w:t>
      </w:r>
      <w:r>
        <w:t xml:space="preserve"> </w:t>
      </w:r>
      <w:r w:rsidRPr="00FC04D5">
        <w:t>or more of the High Contracting Parties, even if the state of war is not</w:t>
      </w:r>
      <w:r>
        <w:t xml:space="preserve"> recognized by one of them.”</w:t>
      </w:r>
      <w:r>
        <w:rPr>
          <w:rStyle w:val="FootnoteReference"/>
        </w:rPr>
        <w:footnoteReference w:id="210"/>
      </w:r>
      <w:r>
        <w:t xml:space="preserve"> But what if one state refuses to acknowledge</w:t>
      </w:r>
      <w:r w:rsidR="00294EAA">
        <w:t xml:space="preserve"> an opposing belligerent as a</w:t>
      </w:r>
      <w:r>
        <w:t xml:space="preserve"> </w:t>
      </w:r>
      <w:r w:rsidR="00294EAA">
        <w:t>legitimate party to the conflict</w:t>
      </w:r>
      <w:r>
        <w:t xml:space="preserve">? </w:t>
      </w:r>
    </w:p>
    <w:p w14:paraId="5DDCBA32" w14:textId="2269EC1C" w:rsidR="000C6B5B" w:rsidRDefault="009925B0" w:rsidP="00D72979">
      <w:pPr>
        <w:spacing w:after="160" w:line="360" w:lineRule="auto"/>
        <w:ind w:left="360" w:right="360" w:firstLine="720"/>
        <w:jc w:val="both"/>
      </w:pPr>
      <w:r>
        <w:t>T</w:t>
      </w:r>
      <w:r w:rsidR="00BE2B25">
        <w:t xml:space="preserve">he </w:t>
      </w:r>
      <w:r>
        <w:t>terrorist attacks of September 11, 2001, precipitated</w:t>
      </w:r>
      <w:r w:rsidR="00BE2B25">
        <w:t xml:space="preserve"> an entirely new paradigm of international armed conflict, bringing with it conflicting ideas of how humanitarian law should apply. </w:t>
      </w:r>
      <w:r w:rsidR="006C16A7">
        <w:t>U</w:t>
      </w:r>
      <w:r w:rsidR="00564C5C">
        <w:t>nlike the German,</w:t>
      </w:r>
      <w:r>
        <w:t xml:space="preserve"> Italian</w:t>
      </w:r>
      <w:r w:rsidR="00564C5C">
        <w:t>, and Japanese</w:t>
      </w:r>
      <w:r>
        <w:t xml:space="preserve"> POWs held by </w:t>
      </w:r>
      <w:r w:rsidR="00563A0F">
        <w:t>U.S. military forces</w:t>
      </w:r>
      <w:r>
        <w:t xml:space="preserve"> during World War II, the nation’s </w:t>
      </w:r>
      <w:r w:rsidR="006C16A7">
        <w:t xml:space="preserve">new </w:t>
      </w:r>
      <w:r>
        <w:t>captive enemy</w:t>
      </w:r>
      <w:r w:rsidR="006C16A7">
        <w:t xml:space="preserve"> in the global “War on Terror”</w:t>
      </w:r>
      <w:r>
        <w:t xml:space="preserve"> would have no interaction with the </w:t>
      </w:r>
      <w:r w:rsidR="006C16A7">
        <w:t xml:space="preserve">American </w:t>
      </w:r>
      <w:r>
        <w:t xml:space="preserve">public and only vaguely-defined protections under the law. </w:t>
      </w:r>
    </w:p>
    <w:p w14:paraId="4C25167D" w14:textId="61435C43" w:rsidR="00CE60CA" w:rsidRDefault="00CE60CA" w:rsidP="00CE60CA">
      <w:pPr>
        <w:spacing w:after="160" w:line="360" w:lineRule="auto"/>
        <w:ind w:left="360" w:right="360" w:firstLine="720"/>
        <w:jc w:val="both"/>
      </w:pPr>
      <w:r w:rsidRPr="00A9375E">
        <w:t xml:space="preserve">In November </w:t>
      </w:r>
      <w:r>
        <w:t xml:space="preserve">of </w:t>
      </w:r>
      <w:r w:rsidRPr="00A9375E">
        <w:t xml:space="preserve">2001, </w:t>
      </w:r>
      <w:r>
        <w:t>President George W. Bush—in his capacity as Commander-in-Chief and by authority of joint resolution by Congress</w:t>
      </w:r>
      <w:r>
        <w:rPr>
          <w:rStyle w:val="FootnoteReference"/>
        </w:rPr>
        <w:footnoteReference w:id="211"/>
      </w:r>
      <w:r>
        <w:t xml:space="preserve">—authorized the establishment of extraterritorial </w:t>
      </w:r>
      <w:r w:rsidRPr="00A865C6">
        <w:t xml:space="preserve">military commissions </w:t>
      </w:r>
      <w:r>
        <w:t>to try</w:t>
      </w:r>
      <w:r w:rsidRPr="00A865C6">
        <w:t xml:space="preserve"> </w:t>
      </w:r>
      <w:r>
        <w:t xml:space="preserve">non-U.S. citizen </w:t>
      </w:r>
      <w:r w:rsidRPr="00A865C6">
        <w:t>enemy combatants suspected of terrorism.</w:t>
      </w:r>
      <w:r>
        <w:rPr>
          <w:rStyle w:val="FootnoteReference"/>
        </w:rPr>
        <w:footnoteReference w:id="212"/>
      </w:r>
      <w:r>
        <w:t xml:space="preserve"> </w:t>
      </w:r>
      <w:r w:rsidR="000B5553">
        <w:t>Efforts to deprive</w:t>
      </w:r>
      <w:r w:rsidR="00081F0D">
        <w:t xml:space="preserve"> suspected enemy combatants of legal protections soon followed. First, b</w:t>
      </w:r>
      <w:r>
        <w:t xml:space="preserve">y sending </w:t>
      </w:r>
      <w:r w:rsidRPr="00E17ECD">
        <w:rPr>
          <w:i/>
        </w:rPr>
        <w:t>al-Qaeda</w:t>
      </w:r>
      <w:r>
        <w:t xml:space="preserve"> and Taliban detainees to the U.S. naval base at Guant</w:t>
      </w:r>
      <w:r w:rsidRPr="00E17ECD">
        <w:t>á</w:t>
      </w:r>
      <w:r>
        <w:t xml:space="preserve">namo Bay, Cuba, the administration attempted to circumvent the </w:t>
      </w:r>
      <w:r w:rsidRPr="009E74C8">
        <w:t>jurisdiction</w:t>
      </w:r>
      <w:r>
        <w:t xml:space="preserve"> of </w:t>
      </w:r>
      <w:r w:rsidR="00081F0D">
        <w:t xml:space="preserve">the </w:t>
      </w:r>
      <w:r>
        <w:t>federal courts</w:t>
      </w:r>
      <w:r w:rsidR="00081F0D">
        <w:t>.</w:t>
      </w:r>
      <w:r>
        <w:rPr>
          <w:rStyle w:val="FootnoteReference"/>
        </w:rPr>
        <w:footnoteReference w:id="213"/>
      </w:r>
      <w:r>
        <w:t xml:space="preserve"> The result, according to Indiana Supreme Court Justice Steven H. David, the former Chief Defense Counsel to the Office of Military Commissions at </w:t>
      </w:r>
      <w:r w:rsidRPr="00261A5B">
        <w:t>Guant</w:t>
      </w:r>
      <w:r w:rsidRPr="00E17ECD">
        <w:t>á</w:t>
      </w:r>
      <w:r w:rsidRPr="00261A5B">
        <w:t>namo Bay</w:t>
      </w:r>
      <w:r>
        <w:t>, was “a Constitutional no-man’s land of military tribunals and commissions—a veritable black hole of judicial precedent and construction.”</w:t>
      </w:r>
      <w:r>
        <w:rPr>
          <w:rStyle w:val="FootnoteReference"/>
        </w:rPr>
        <w:footnoteReference w:id="214"/>
      </w:r>
      <w:r>
        <w:t xml:space="preserve"> </w:t>
      </w:r>
    </w:p>
    <w:p w14:paraId="77DFEAAD" w14:textId="5E8B7F3E" w:rsidR="000C6B5B" w:rsidRDefault="00CE60CA" w:rsidP="00D72979">
      <w:pPr>
        <w:spacing w:after="160" w:line="360" w:lineRule="auto"/>
        <w:ind w:left="360" w:right="360" w:firstLine="720"/>
        <w:jc w:val="both"/>
      </w:pPr>
      <w:r>
        <w:t>Then, o</w:t>
      </w:r>
      <w:r w:rsidR="00564C5C">
        <w:t>n February 7, 2002</w:t>
      </w:r>
      <w:r w:rsidR="000C6B5B" w:rsidRPr="000C0EDE">
        <w:t>, the B</w:t>
      </w:r>
      <w:r w:rsidR="00564C5C">
        <w:t xml:space="preserve">ush Administration announced </w:t>
      </w:r>
      <w:r w:rsidR="000C6B5B">
        <w:t xml:space="preserve">that “the Geneva Convention [would] apply to the Taliban detainees, but not to the </w:t>
      </w:r>
      <w:r w:rsidR="000C6B5B" w:rsidRPr="00E96FF0">
        <w:rPr>
          <w:i/>
        </w:rPr>
        <w:t>al-Qaeda</w:t>
      </w:r>
      <w:r w:rsidR="000C6B5B">
        <w:t xml:space="preserve"> international terrorists.”</w:t>
      </w:r>
      <w:r w:rsidR="000C6B5B">
        <w:rPr>
          <w:rStyle w:val="FootnoteReference"/>
        </w:rPr>
        <w:footnoteReference w:id="215"/>
      </w:r>
      <w:r w:rsidR="000C6B5B">
        <w:t xml:space="preserve"> Moreover, while covered by the treaty, Taliban detainees “are not entitled to POW status.”</w:t>
      </w:r>
      <w:r w:rsidR="003126EE">
        <w:rPr>
          <w:rStyle w:val="FootnoteReference"/>
        </w:rPr>
        <w:footnoteReference w:id="216"/>
      </w:r>
      <w:r w:rsidR="000C6B5B">
        <w:t xml:space="preserve"> The administration </w:t>
      </w:r>
      <w:r w:rsidR="000C6B5B" w:rsidRPr="009E74C8">
        <w:t>concluded</w:t>
      </w:r>
      <w:r w:rsidR="000C6B5B">
        <w:rPr>
          <w:rStyle w:val="Hyperlink"/>
          <w:color w:val="auto"/>
          <w:u w:val="none"/>
        </w:rPr>
        <w:t xml:space="preserve"> </w:t>
      </w:r>
      <w:r w:rsidR="000C6B5B">
        <w:t>that, “[a]s a matter of policy, the United States shall continue to treat detainees humanely and, to the extent appropriate and consistent with military necessity, in a manner consistent with the principles of Geneva.”</w:t>
      </w:r>
      <w:r w:rsidR="000E1E22">
        <w:rPr>
          <w:rStyle w:val="FootnoteReference"/>
        </w:rPr>
        <w:footnoteReference w:id="217"/>
      </w:r>
    </w:p>
    <w:p w14:paraId="7F4B82CB" w14:textId="61C577E2" w:rsidR="000C0EDE" w:rsidRPr="000C0EDE" w:rsidRDefault="000C0EDE" w:rsidP="000C0EDE">
      <w:pPr>
        <w:spacing w:after="160" w:line="360" w:lineRule="auto"/>
        <w:ind w:left="360" w:right="360" w:firstLine="720"/>
        <w:jc w:val="both"/>
      </w:pPr>
      <w:r w:rsidRPr="000C0EDE">
        <w:t>Despite these assurances</w:t>
      </w:r>
      <w:r w:rsidR="009F595F">
        <w:t xml:space="preserve">, </w:t>
      </w:r>
      <w:r w:rsidR="00081F0D">
        <w:t xml:space="preserve">however, </w:t>
      </w:r>
      <w:r w:rsidRPr="000C0EDE">
        <w:t xml:space="preserve">the absence of express legal restraints </w:t>
      </w:r>
      <w:r w:rsidR="00BD1C5A">
        <w:t xml:space="preserve">ultimately </w:t>
      </w:r>
      <w:r w:rsidR="009F595F">
        <w:t>result</w:t>
      </w:r>
      <w:r w:rsidR="00CE60CA">
        <w:t>ed</w:t>
      </w:r>
      <w:r w:rsidRPr="000C0EDE">
        <w:t xml:space="preserve"> in</w:t>
      </w:r>
      <w:r w:rsidR="00BD1C5A">
        <w:t xml:space="preserve"> the torture and abuse of </w:t>
      </w:r>
      <w:r w:rsidR="00EA6BE7">
        <w:t>prisoners</w:t>
      </w:r>
      <w:r w:rsidRPr="000C0EDE">
        <w:t xml:space="preserve"> at the hands of untrained military police and U.S.</w:t>
      </w:r>
      <w:r w:rsidR="009F595F">
        <w:t xml:space="preserve"> intelligence officers at</w:t>
      </w:r>
      <w:r w:rsidR="00EA6BE7">
        <w:t xml:space="preserve"> detention facilities in Afghanistan, Iraq, </w:t>
      </w:r>
      <w:r w:rsidR="00EA6BE7" w:rsidRPr="00EA6BE7">
        <w:t>Guantánamo</w:t>
      </w:r>
      <w:r w:rsidR="00CE60CA">
        <w:t xml:space="preserve"> Bay, and other “black sites” (or secret prisons) </w:t>
      </w:r>
      <w:r w:rsidR="00EA6BE7">
        <w:t>throughout the world.</w:t>
      </w:r>
      <w:r w:rsidR="00EA6BE7">
        <w:rPr>
          <w:rStyle w:val="FootnoteReference"/>
        </w:rPr>
        <w:footnoteReference w:id="218"/>
      </w:r>
    </w:p>
    <w:p w14:paraId="16552F00" w14:textId="347F14C4" w:rsidR="00CE60CA" w:rsidRDefault="000C6B5B" w:rsidP="00D72979">
      <w:pPr>
        <w:spacing w:after="160" w:line="360" w:lineRule="auto"/>
        <w:ind w:left="360" w:right="360" w:firstLine="720"/>
        <w:jc w:val="both"/>
      </w:pPr>
      <w:r>
        <w:t xml:space="preserve">In classifying members of </w:t>
      </w:r>
      <w:r w:rsidRPr="000B281D">
        <w:rPr>
          <w:i/>
        </w:rPr>
        <w:t>al-Qaeda</w:t>
      </w:r>
      <w:r>
        <w:t xml:space="preserve"> as “unlawful combatants,” the Bush Administration </w:t>
      </w:r>
      <w:r w:rsidR="00F8656E" w:rsidRPr="00640615">
        <w:t xml:space="preserve">interpreted </w:t>
      </w:r>
      <w:r w:rsidRPr="00640615">
        <w:t>provisions of the Geneva Convention</w:t>
      </w:r>
      <w:r w:rsidR="00F8656E">
        <w:t xml:space="preserve"> so as to preclude detainees from certain legal protections</w:t>
      </w:r>
      <w:r>
        <w:t>.</w:t>
      </w:r>
      <w:r>
        <w:rPr>
          <w:rStyle w:val="FootnoteReference"/>
        </w:rPr>
        <w:footnoteReference w:id="219"/>
      </w:r>
      <w:r>
        <w:t xml:space="preserve"> </w:t>
      </w:r>
      <w:r>
        <w:rPr>
          <w:rFonts w:eastAsia="Times New Roman" w:cs="Arial"/>
        </w:rPr>
        <w:t xml:space="preserve">Under </w:t>
      </w:r>
      <w:r w:rsidRPr="00D24FA8">
        <w:rPr>
          <w:rFonts w:eastAsia="Times New Roman" w:cs="Arial"/>
        </w:rPr>
        <w:t>Article 4</w:t>
      </w:r>
      <w:r>
        <w:rPr>
          <w:rFonts w:eastAsia="Times New Roman" w:cs="Arial"/>
        </w:rPr>
        <w:t xml:space="preserve">, members of </w:t>
      </w:r>
      <w:r w:rsidRPr="009248EC">
        <w:rPr>
          <w:rFonts w:eastAsia="Times New Roman" w:cs="Arial"/>
        </w:rPr>
        <w:t>regular</w:t>
      </w:r>
      <w:r>
        <w:rPr>
          <w:rFonts w:eastAsia="Times New Roman" w:cs="Arial"/>
        </w:rPr>
        <w:t xml:space="preserve"> (or internationally-recognized)</w:t>
      </w:r>
      <w:r w:rsidRPr="009248EC">
        <w:rPr>
          <w:rFonts w:eastAsia="Times New Roman" w:cs="Arial"/>
        </w:rPr>
        <w:t xml:space="preserve"> armed force</w:t>
      </w:r>
      <w:r>
        <w:rPr>
          <w:rFonts w:eastAsia="Times New Roman" w:cs="Arial"/>
        </w:rPr>
        <w:t>s</w:t>
      </w:r>
      <w:r w:rsidRPr="009248EC">
        <w:rPr>
          <w:rFonts w:eastAsia="Times New Roman" w:cs="Arial"/>
        </w:rPr>
        <w:t>, including militias and volunteer corps serving as part of the armed</w:t>
      </w:r>
      <w:r>
        <w:rPr>
          <w:rFonts w:eastAsia="Times New Roman" w:cs="Arial"/>
        </w:rPr>
        <w:t xml:space="preserve"> </w:t>
      </w:r>
      <w:r w:rsidRPr="009248EC">
        <w:rPr>
          <w:rFonts w:eastAsia="Times New Roman" w:cs="Arial"/>
        </w:rPr>
        <w:t xml:space="preserve">forces, are entitled to </w:t>
      </w:r>
      <w:r>
        <w:rPr>
          <w:rFonts w:eastAsia="Times New Roman" w:cs="Arial"/>
        </w:rPr>
        <w:t>POW status</w:t>
      </w:r>
      <w:r w:rsidRPr="009248EC">
        <w:rPr>
          <w:rFonts w:eastAsia="Times New Roman" w:cs="Arial"/>
        </w:rPr>
        <w:t>.</w:t>
      </w:r>
      <w:r w:rsidR="000E1E22">
        <w:rPr>
          <w:rStyle w:val="FootnoteReference"/>
          <w:rFonts w:eastAsia="Times New Roman" w:cs="Arial"/>
        </w:rPr>
        <w:footnoteReference w:id="220"/>
      </w:r>
      <w:r>
        <w:rPr>
          <w:rFonts w:eastAsia="Times New Roman" w:cs="Arial"/>
        </w:rPr>
        <w:t xml:space="preserve"> To qualify for the same status, </w:t>
      </w:r>
      <w:r w:rsidR="00F8656E">
        <w:rPr>
          <w:rFonts w:eastAsia="Times New Roman" w:cs="Arial"/>
        </w:rPr>
        <w:t>so-called “</w:t>
      </w:r>
      <w:r>
        <w:rPr>
          <w:rFonts w:eastAsia="Times New Roman" w:cs="Arial"/>
        </w:rPr>
        <w:t>irregular</w:t>
      </w:r>
      <w:r w:rsidR="00F8656E">
        <w:rPr>
          <w:rFonts w:eastAsia="Times New Roman" w:cs="Arial"/>
        </w:rPr>
        <w:t>”</w:t>
      </w:r>
      <w:r>
        <w:rPr>
          <w:rFonts w:eastAsia="Times New Roman" w:cs="Arial"/>
        </w:rPr>
        <w:t xml:space="preserve"> combatants must (a) “</w:t>
      </w:r>
      <w:r w:rsidRPr="0024353B">
        <w:rPr>
          <w:rFonts w:eastAsia="Times New Roman" w:cs="Arial"/>
        </w:rPr>
        <w:t>be commanded by a person re</w:t>
      </w:r>
      <w:r>
        <w:rPr>
          <w:rFonts w:eastAsia="Times New Roman" w:cs="Arial"/>
        </w:rPr>
        <w:t>sponsible for his subordinates,” (b) wear uniforms with “</w:t>
      </w:r>
      <w:r w:rsidRPr="0024353B">
        <w:rPr>
          <w:rFonts w:eastAsia="Times New Roman" w:cs="Arial"/>
        </w:rPr>
        <w:t>a fixed distinctive emblem recogni</w:t>
      </w:r>
      <w:r>
        <w:rPr>
          <w:rFonts w:eastAsia="Times New Roman" w:cs="Arial"/>
        </w:rPr>
        <w:t xml:space="preserve">zable at a distance,” (c) </w:t>
      </w:r>
      <w:r>
        <w:t>“carry arms openly,” and (d) comply</w:t>
      </w:r>
      <w:r w:rsidRPr="004721CC">
        <w:t xml:space="preserve"> with the </w:t>
      </w:r>
      <w:r>
        <w:t>“</w:t>
      </w:r>
      <w:r w:rsidRPr="004721CC">
        <w:t>laws and customs of war.</w:t>
      </w:r>
      <w:r>
        <w:t>”</w:t>
      </w:r>
      <w:r w:rsidR="000E1E22">
        <w:rPr>
          <w:rStyle w:val="FootnoteReference"/>
        </w:rPr>
        <w:footnoteReference w:id="221"/>
      </w:r>
      <w:r>
        <w:t xml:space="preserve"> </w:t>
      </w:r>
    </w:p>
    <w:p w14:paraId="472364EA" w14:textId="506C01A0" w:rsidR="000C6B5B" w:rsidRPr="00081F0D" w:rsidRDefault="000C6B5B" w:rsidP="00081F0D">
      <w:pPr>
        <w:spacing w:after="160" w:line="360" w:lineRule="auto"/>
        <w:ind w:left="360" w:right="360" w:firstLine="720"/>
        <w:jc w:val="both"/>
      </w:pPr>
      <w:r w:rsidRPr="00E96FF0">
        <w:t>Terrorist organizations</w:t>
      </w:r>
      <w:r>
        <w:t xml:space="preserve"> such as </w:t>
      </w:r>
      <w:r w:rsidRPr="00E96FF0">
        <w:rPr>
          <w:i/>
        </w:rPr>
        <w:t>al-Qaeda</w:t>
      </w:r>
      <w:r>
        <w:t xml:space="preserve"> clearly fall short of these criteria: they rely on </w:t>
      </w:r>
      <w:r w:rsidRPr="006E0439">
        <w:t>civilian cover</w:t>
      </w:r>
      <w:r>
        <w:t>, rather than distinctive emblems or military uniforms;</w:t>
      </w:r>
      <w:r w:rsidRPr="006E0439">
        <w:t xml:space="preserve"> </w:t>
      </w:r>
      <w:r>
        <w:t>they fail to carry arms openly, thus concealing their intent to use force; and, by attacking civilian groups, they exceed the boundaries of accepted laws and customs of war.</w:t>
      </w:r>
      <w:r>
        <w:rPr>
          <w:rStyle w:val="FootnoteReference"/>
        </w:rPr>
        <w:footnoteReference w:id="222"/>
      </w:r>
      <w:r>
        <w:t xml:space="preserve"> </w:t>
      </w:r>
      <w:r w:rsidR="00081F0D">
        <w:t xml:space="preserve"> However, i</w:t>
      </w:r>
      <w:r>
        <w:t xml:space="preserve">f history is </w:t>
      </w:r>
      <w:r w:rsidR="00081F0D">
        <w:t>any guide</w:t>
      </w:r>
      <w:r>
        <w:t xml:space="preserve">, there is no firm precedent for categorically denying POW </w:t>
      </w:r>
      <w:r w:rsidRPr="00143315">
        <w:t xml:space="preserve">status on the </w:t>
      </w:r>
      <w:r>
        <w:t>grounds</w:t>
      </w:r>
      <w:r w:rsidRPr="00143315">
        <w:t xml:space="preserve"> that </w:t>
      </w:r>
      <w:r>
        <w:t>irregular combatants failed to</w:t>
      </w:r>
      <w:r w:rsidRPr="00143315">
        <w:t xml:space="preserve"> comply completely with </w:t>
      </w:r>
      <w:r>
        <w:t>these provisions</w:t>
      </w:r>
      <w:r w:rsidRPr="00143315">
        <w:t>.</w:t>
      </w:r>
      <w:r>
        <w:t xml:space="preserve"> </w:t>
      </w:r>
      <w:r>
        <w:rPr>
          <w:rFonts w:eastAsia="Times New Roman" w:cs="Arial"/>
        </w:rPr>
        <w:t>To the contrary, the United States</w:t>
      </w:r>
      <w:r w:rsidRPr="003C7E76">
        <w:rPr>
          <w:rFonts w:eastAsia="Times New Roman" w:cs="Arial"/>
        </w:rPr>
        <w:t xml:space="preserve"> has</w:t>
      </w:r>
      <w:r>
        <w:rPr>
          <w:rFonts w:eastAsia="Times New Roman" w:cs="Arial"/>
        </w:rPr>
        <w:t xml:space="preserve"> long</w:t>
      </w:r>
      <w:r w:rsidRPr="003C7E76">
        <w:rPr>
          <w:rFonts w:eastAsia="Times New Roman" w:cs="Arial"/>
        </w:rPr>
        <w:t xml:space="preserve"> </w:t>
      </w:r>
      <w:r>
        <w:rPr>
          <w:rFonts w:eastAsia="Times New Roman" w:cs="Arial"/>
        </w:rPr>
        <w:t>interpreted Article 4 liberally, not only in</w:t>
      </w:r>
      <w:r w:rsidRPr="003C7E76">
        <w:rPr>
          <w:rFonts w:eastAsia="Times New Roman" w:cs="Arial"/>
        </w:rPr>
        <w:t xml:space="preserve"> accord</w:t>
      </w:r>
      <w:r>
        <w:rPr>
          <w:rFonts w:eastAsia="Times New Roman" w:cs="Arial"/>
        </w:rPr>
        <w:t xml:space="preserve">ing POW status to irregular </w:t>
      </w:r>
      <w:r w:rsidR="00641C74">
        <w:rPr>
          <w:rFonts w:eastAsia="Times New Roman" w:cs="Arial"/>
        </w:rPr>
        <w:t>enemy combatants</w:t>
      </w:r>
      <w:r>
        <w:rPr>
          <w:rFonts w:eastAsia="Times New Roman" w:cs="Arial"/>
        </w:rPr>
        <w:t>,</w:t>
      </w:r>
      <w:r>
        <w:rPr>
          <w:rStyle w:val="FootnoteReference"/>
          <w:rFonts w:eastAsia="Times New Roman" w:cs="Arial"/>
        </w:rPr>
        <w:footnoteReference w:id="223"/>
      </w:r>
      <w:r>
        <w:rPr>
          <w:rFonts w:eastAsia="Times New Roman" w:cs="Arial"/>
        </w:rPr>
        <w:t xml:space="preserve"> but also</w:t>
      </w:r>
      <w:r w:rsidRPr="003C7E76">
        <w:rPr>
          <w:rFonts w:eastAsia="Times New Roman" w:cs="Arial"/>
        </w:rPr>
        <w:t xml:space="preserve"> </w:t>
      </w:r>
      <w:r>
        <w:rPr>
          <w:rFonts w:eastAsia="Times New Roman" w:cs="Arial"/>
        </w:rPr>
        <w:t>in supporting such status for irregular allied forces,</w:t>
      </w:r>
      <w:r>
        <w:rPr>
          <w:rStyle w:val="FootnoteReference"/>
          <w:rFonts w:eastAsia="Times New Roman" w:cs="Arial"/>
        </w:rPr>
        <w:footnoteReference w:id="224"/>
      </w:r>
      <w:r>
        <w:rPr>
          <w:rFonts w:eastAsia="Times New Roman" w:cs="Arial"/>
        </w:rPr>
        <w:t xml:space="preserve"> and in objecting</w:t>
      </w:r>
      <w:r w:rsidRPr="003C7E76">
        <w:rPr>
          <w:rFonts w:eastAsia="Times New Roman" w:cs="Arial"/>
        </w:rPr>
        <w:t xml:space="preserve"> </w:t>
      </w:r>
      <w:r>
        <w:rPr>
          <w:rFonts w:eastAsia="Times New Roman" w:cs="Arial"/>
        </w:rPr>
        <w:t>to adversarial belligerents’ denial of such status</w:t>
      </w:r>
      <w:r w:rsidRPr="003C7E76">
        <w:rPr>
          <w:rFonts w:eastAsia="Times New Roman" w:cs="Arial"/>
        </w:rPr>
        <w:t xml:space="preserve"> </w:t>
      </w:r>
      <w:r>
        <w:rPr>
          <w:rFonts w:eastAsia="Times New Roman" w:cs="Arial"/>
        </w:rPr>
        <w:t>for U.S. military personnel</w:t>
      </w:r>
      <w:r w:rsidR="000B5553">
        <w:rPr>
          <w:rFonts w:eastAsia="Times New Roman" w:cs="Arial"/>
        </w:rPr>
        <w:t xml:space="preserve"> captured abroad</w:t>
      </w:r>
      <w:r>
        <w:rPr>
          <w:rFonts w:eastAsia="Times New Roman" w:cs="Arial"/>
        </w:rPr>
        <w:t>.</w:t>
      </w:r>
      <w:r>
        <w:rPr>
          <w:rStyle w:val="FootnoteReference"/>
          <w:rFonts w:eastAsia="Times New Roman" w:cs="Arial"/>
        </w:rPr>
        <w:footnoteReference w:id="225"/>
      </w:r>
    </w:p>
    <w:p w14:paraId="2ECBD477" w14:textId="09D8A791" w:rsidR="000C6B5B" w:rsidRPr="00D72979" w:rsidRDefault="00081F0D" w:rsidP="00D72979">
      <w:pPr>
        <w:spacing w:after="160" w:line="360" w:lineRule="auto"/>
        <w:ind w:left="360" w:right="360" w:firstLine="720"/>
        <w:jc w:val="both"/>
      </w:pPr>
      <w:r>
        <w:t>Historical practice aside</w:t>
      </w:r>
      <w:r w:rsidR="000C6B5B">
        <w:t>, the Geneva Convention</w:t>
      </w:r>
      <w:r w:rsidR="000C0EDE">
        <w:t xml:space="preserve"> provide</w:t>
      </w:r>
      <w:r w:rsidR="00A859A2">
        <w:t>s</w:t>
      </w:r>
      <w:r w:rsidR="000C6B5B">
        <w:t xml:space="preserve"> all enemy detainees with </w:t>
      </w:r>
      <w:r w:rsidR="000C6B5B">
        <w:rPr>
          <w:rFonts w:eastAsia="Times New Roman" w:cs="Arial"/>
        </w:rPr>
        <w:t>basic</w:t>
      </w:r>
      <w:r w:rsidR="000C6B5B" w:rsidRPr="00A22D0A">
        <w:rPr>
          <w:rFonts w:eastAsia="Times New Roman" w:cs="Arial"/>
        </w:rPr>
        <w:t xml:space="preserve"> guarantees of humane treatment</w:t>
      </w:r>
      <w:r w:rsidR="000C6B5B">
        <w:rPr>
          <w:rFonts w:eastAsia="Times New Roman" w:cs="Arial"/>
        </w:rPr>
        <w:t>, including</w:t>
      </w:r>
      <w:r w:rsidR="000C6B5B" w:rsidRPr="00A22D0A">
        <w:rPr>
          <w:rFonts w:eastAsia="Times New Roman" w:cs="Arial"/>
        </w:rPr>
        <w:t xml:space="preserve"> </w:t>
      </w:r>
      <w:r w:rsidR="000C6B5B">
        <w:rPr>
          <w:rFonts w:eastAsia="Times New Roman" w:cs="Arial"/>
        </w:rPr>
        <w:t>protections against</w:t>
      </w:r>
      <w:r w:rsidR="000C6B5B" w:rsidRPr="00A22D0A">
        <w:rPr>
          <w:rFonts w:eastAsia="Times New Roman" w:cs="Arial"/>
        </w:rPr>
        <w:t xml:space="preserve"> </w:t>
      </w:r>
      <w:r w:rsidR="000C6B5B">
        <w:rPr>
          <w:rFonts w:eastAsia="Times New Roman" w:cs="Arial"/>
        </w:rPr>
        <w:t>torture and humiliation</w:t>
      </w:r>
      <w:r w:rsidR="000C6B5B" w:rsidRPr="00A22D0A">
        <w:rPr>
          <w:rFonts w:eastAsia="Times New Roman" w:cs="Arial"/>
        </w:rPr>
        <w:t>.</w:t>
      </w:r>
      <w:r w:rsidR="000C6B5B">
        <w:rPr>
          <w:rStyle w:val="FootnoteReference"/>
          <w:rFonts w:eastAsia="Times New Roman" w:cs="Arial"/>
        </w:rPr>
        <w:footnoteReference w:id="226"/>
      </w:r>
      <w:r w:rsidR="000C6B5B">
        <w:t xml:space="preserve"> </w:t>
      </w:r>
      <w:r w:rsidR="000C6B5B" w:rsidRPr="00D24FA8">
        <w:t>Common Article 3</w:t>
      </w:r>
      <w:r w:rsidR="000C6B5B">
        <w:t xml:space="preserve">, which applies in cases of </w:t>
      </w:r>
      <w:r w:rsidR="000C6B5B" w:rsidRPr="00A97A33">
        <w:t xml:space="preserve">armed conflict </w:t>
      </w:r>
      <w:r w:rsidR="000C6B5B">
        <w:t>“</w:t>
      </w:r>
      <w:r w:rsidR="000C6B5B" w:rsidRPr="00A97A33">
        <w:t>not of an international character</w:t>
      </w:r>
      <w:r w:rsidR="000C6B5B">
        <w:t xml:space="preserve">,” ensures minimum standards of protection for </w:t>
      </w:r>
      <w:r w:rsidR="000C6B5B" w:rsidRPr="00A97A33">
        <w:rPr>
          <w:i/>
        </w:rPr>
        <w:t>all</w:t>
      </w:r>
      <w:r w:rsidR="000C6B5B" w:rsidRPr="00A97A33">
        <w:t xml:space="preserve"> persons in enemy hands, </w:t>
      </w:r>
      <w:r w:rsidR="000C6B5B" w:rsidRPr="00A97A33">
        <w:rPr>
          <w:i/>
        </w:rPr>
        <w:t>regardless</w:t>
      </w:r>
      <w:r w:rsidR="000C6B5B">
        <w:t xml:space="preserve"> of </w:t>
      </w:r>
      <w:r w:rsidR="000C6B5B" w:rsidRPr="00A97A33">
        <w:t>distinction</w:t>
      </w:r>
      <w:r w:rsidR="000C6B5B">
        <w:t xml:space="preserve"> in status.</w:t>
      </w:r>
      <w:r w:rsidR="000E1E22">
        <w:rPr>
          <w:rStyle w:val="FootnoteReference"/>
        </w:rPr>
        <w:footnoteReference w:id="227"/>
      </w:r>
      <w:r w:rsidR="000E1E22">
        <w:t xml:space="preserve"> </w:t>
      </w:r>
      <w:r w:rsidR="000C6B5B">
        <w:t>Belligerent acts “</w:t>
      </w:r>
      <w:r w:rsidR="000C6B5B" w:rsidRPr="008547E6">
        <w:t>prohibited at any time and in any place</w:t>
      </w:r>
      <w:r w:rsidR="000C6B5B">
        <w:t>” include, among others, “</w:t>
      </w:r>
      <w:r w:rsidR="000C6B5B" w:rsidRPr="008547E6">
        <w:t>violence to life and person, in particular murder of all kinds, mutilati</w:t>
      </w:r>
      <w:r w:rsidR="000C6B5B">
        <w:t>on, cruel treatment and torture.”</w:t>
      </w:r>
      <w:r w:rsidR="000E1E22">
        <w:rPr>
          <w:rStyle w:val="FootnoteReference"/>
        </w:rPr>
        <w:footnoteReference w:id="228"/>
      </w:r>
      <w:r w:rsidR="000C6B5B">
        <w:t xml:space="preserve"> </w:t>
      </w:r>
    </w:p>
    <w:p w14:paraId="7640DF75" w14:textId="4AA1601C" w:rsidR="000C6B5B" w:rsidRDefault="000C6B5B" w:rsidP="00022223">
      <w:pPr>
        <w:spacing w:after="160" w:line="360" w:lineRule="auto"/>
        <w:ind w:left="360" w:right="360" w:firstLine="720"/>
        <w:jc w:val="both"/>
      </w:pPr>
      <w:r>
        <w:t xml:space="preserve">In 2006, the U.S. Supreme Court </w:t>
      </w:r>
      <w:r w:rsidR="00EB4FFE">
        <w:t>seemed to have settled the issue. I</w:t>
      </w:r>
      <w:r>
        <w:t>n</w:t>
      </w:r>
      <w:r w:rsidRPr="00F83C97">
        <w:t xml:space="preserve"> </w:t>
      </w:r>
      <w:r w:rsidRPr="000A3F4B">
        <w:rPr>
          <w:i/>
        </w:rPr>
        <w:t>Hamdan v.</w:t>
      </w:r>
      <w:r>
        <w:t xml:space="preserve"> </w:t>
      </w:r>
      <w:r w:rsidRPr="00D24FA8">
        <w:rPr>
          <w:i/>
        </w:rPr>
        <w:t>Rumsfeld</w:t>
      </w:r>
      <w:r>
        <w:t xml:space="preserve"> </w:t>
      </w:r>
      <w:r w:rsidR="00EB4FFE">
        <w:t xml:space="preserve">the Court concluded </w:t>
      </w:r>
      <w:r>
        <w:t xml:space="preserve">that, among other </w:t>
      </w:r>
      <w:r w:rsidR="00F8656E">
        <w:t>things, Common Article 3 applied</w:t>
      </w:r>
      <w:r>
        <w:t xml:space="preserve"> to </w:t>
      </w:r>
      <w:r w:rsidRPr="00982DF3">
        <w:rPr>
          <w:i/>
        </w:rPr>
        <w:t>al-Qaeda</w:t>
      </w:r>
      <w:r>
        <w:t xml:space="preserve">, requiring trial by </w:t>
      </w:r>
      <w:r w:rsidRPr="002B283B">
        <w:t>a “regularly</w:t>
      </w:r>
      <w:r>
        <w:t xml:space="preserve"> </w:t>
      </w:r>
      <w:r w:rsidRPr="002B283B">
        <w:t>constituted court affording all the judicial guarantees which are recognized as indispensable by civilized peoples.”</w:t>
      </w:r>
      <w:r>
        <w:rPr>
          <w:rStyle w:val="FootnoteReference"/>
        </w:rPr>
        <w:footnoteReference w:id="229"/>
      </w:r>
      <w:r w:rsidRPr="002B283B">
        <w:t> </w:t>
      </w:r>
      <w:r>
        <w:t xml:space="preserve"> Two years later, </w:t>
      </w:r>
      <w:r w:rsidRPr="00347080">
        <w:t xml:space="preserve">in </w:t>
      </w:r>
      <w:r w:rsidRPr="00197C5B">
        <w:rPr>
          <w:i/>
        </w:rPr>
        <w:t>Boumediene v. Bush</w:t>
      </w:r>
      <w:r w:rsidRPr="00347080">
        <w:t xml:space="preserve">, the Court recognized </w:t>
      </w:r>
      <w:r>
        <w:t xml:space="preserve">non-citizen petitioners’ rights to </w:t>
      </w:r>
      <w:r w:rsidRPr="00347080">
        <w:t xml:space="preserve">habeas corpus </w:t>
      </w:r>
      <w:r>
        <w:t>proceedings</w:t>
      </w:r>
      <w:r w:rsidR="003259D1">
        <w:t>,</w:t>
      </w:r>
      <w:r>
        <w:t xml:space="preserve"> given</w:t>
      </w:r>
      <w:r w:rsidRPr="00347080">
        <w:t xml:space="preserve"> the United States </w:t>
      </w:r>
      <w:r w:rsidR="00CE60CA">
        <w:t>exercise of</w:t>
      </w:r>
      <w:r>
        <w:t xml:space="preserve"> </w:t>
      </w:r>
      <w:r w:rsidRPr="00347080">
        <w:rPr>
          <w:i/>
          <w:iCs/>
        </w:rPr>
        <w:t>de facto</w:t>
      </w:r>
      <w:r>
        <w:t> sovereignty over</w:t>
      </w:r>
      <w:r w:rsidRPr="00347080">
        <w:t xml:space="preserve"> </w:t>
      </w:r>
      <w:r w:rsidR="00081F0D" w:rsidRPr="00261A5B">
        <w:t>Guant</w:t>
      </w:r>
      <w:r w:rsidR="00081F0D" w:rsidRPr="00E17ECD">
        <w:t>á</w:t>
      </w:r>
      <w:r w:rsidR="00081F0D" w:rsidRPr="00261A5B">
        <w:t>namo</w:t>
      </w:r>
      <w:r w:rsidRPr="00347080">
        <w:t xml:space="preserve"> Bay.</w:t>
      </w:r>
      <w:r>
        <w:rPr>
          <w:rStyle w:val="FootnoteReference"/>
        </w:rPr>
        <w:footnoteReference w:id="230"/>
      </w:r>
    </w:p>
    <w:p w14:paraId="47844635" w14:textId="5AEE400F" w:rsidR="00816021" w:rsidRDefault="00081F0D" w:rsidP="009C5DBC">
      <w:pPr>
        <w:spacing w:after="160" w:line="360" w:lineRule="auto"/>
        <w:ind w:left="360" w:right="360" w:firstLine="720"/>
        <w:jc w:val="both"/>
      </w:pPr>
      <w:r>
        <w:t xml:space="preserve">Both of these cases </w:t>
      </w:r>
      <w:r w:rsidR="00BC2F64">
        <w:t xml:space="preserve">unsettled the Bush-era doctrine of </w:t>
      </w:r>
      <w:r w:rsidR="00684AE9">
        <w:t>noncompliance</w:t>
      </w:r>
      <w:r w:rsidR="00BC2F64" w:rsidRPr="00684AE9">
        <w:t>;</w:t>
      </w:r>
      <w:r w:rsidR="00BC2F64">
        <w:t xml:space="preserve"> they did not, however, </w:t>
      </w:r>
      <w:r w:rsidR="003259D1">
        <w:t xml:space="preserve">end </w:t>
      </w:r>
      <w:r w:rsidR="009C5DBC">
        <w:t>the practices</w:t>
      </w:r>
      <w:r w:rsidR="00EA2708" w:rsidRPr="00EA2708">
        <w:t xml:space="preserve"> </w:t>
      </w:r>
      <w:r w:rsidR="009C5DBC">
        <w:t>of indefinite detention, extraordinary rendition</w:t>
      </w:r>
      <w:r w:rsidR="00EA2708" w:rsidRPr="00EA2708">
        <w:t>,</w:t>
      </w:r>
      <w:r w:rsidR="009C5DBC">
        <w:t xml:space="preserve"> and enhanced interrogation</w:t>
      </w:r>
      <w:r w:rsidR="00BC2F64" w:rsidRPr="00EA2708">
        <w:t>.</w:t>
      </w:r>
      <w:r w:rsidR="00BC2F64">
        <w:t xml:space="preserve"> </w:t>
      </w:r>
      <w:r w:rsidR="00022223" w:rsidRPr="00EB4FFE">
        <w:t xml:space="preserve">As Col. Steven David </w:t>
      </w:r>
      <w:r w:rsidR="00EB4FFE" w:rsidRPr="00EB4FFE">
        <w:t>testified</w:t>
      </w:r>
      <w:r w:rsidR="00022223" w:rsidRPr="00EB4FFE">
        <w:t xml:space="preserve"> in 2008</w:t>
      </w:r>
      <w:r w:rsidR="00EB4FFE">
        <w:t xml:space="preserve"> before the House Committee on Armed Services</w:t>
      </w:r>
      <w:r w:rsidR="00022223">
        <w:t>, “[t]</w:t>
      </w:r>
      <w:r w:rsidR="00816021">
        <w:t>he first steps in ending abuses at Guantanamo were taken when the judicial and legislative branches insisted Common Article 3 and prohibitions on cruel, inhuman and de</w:t>
      </w:r>
      <w:r w:rsidR="00022223">
        <w:t>grading treatment applied there.”</w:t>
      </w:r>
      <w:r w:rsidR="00022223">
        <w:rPr>
          <w:rStyle w:val="FootnoteReference"/>
        </w:rPr>
        <w:footnoteReference w:id="231"/>
      </w:r>
      <w:r w:rsidR="00816021">
        <w:t xml:space="preserve"> </w:t>
      </w:r>
      <w:r w:rsidR="00022223">
        <w:t>“</w:t>
      </w:r>
      <w:r w:rsidR="00816021">
        <w:t>The next steps</w:t>
      </w:r>
      <w:r w:rsidR="00022223">
        <w:t>,” he recommended</w:t>
      </w:r>
      <w:r w:rsidR="00816021">
        <w:t xml:space="preserve"> </w:t>
      </w:r>
      <w:r w:rsidR="00022223">
        <w:t>“</w:t>
      </w:r>
      <w:r w:rsidR="00816021">
        <w:t>must be functions of factual accounting of what has gone before, a clear-eyed assessment of how these standards are not yet fully given in force, and real-world policy changes that move us forward.”</w:t>
      </w:r>
      <w:r w:rsidR="00816021">
        <w:rPr>
          <w:rStyle w:val="FootnoteReference"/>
        </w:rPr>
        <w:footnoteReference w:id="232"/>
      </w:r>
      <w:r w:rsidR="00816021">
        <w:t xml:space="preserve"> </w:t>
      </w:r>
    </w:p>
    <w:p w14:paraId="0E71B49A" w14:textId="4AFD895F" w:rsidR="00816021" w:rsidRDefault="00816021" w:rsidP="00BD7940">
      <w:pPr>
        <w:spacing w:after="160" w:line="360" w:lineRule="auto"/>
        <w:ind w:left="360" w:right="360" w:firstLine="720"/>
        <w:jc w:val="both"/>
      </w:pPr>
      <w:r>
        <w:t>On December</w:t>
      </w:r>
      <w:r w:rsidRPr="00E03BD5">
        <w:t xml:space="preserve"> 9,</w:t>
      </w:r>
      <w:r>
        <w:t xml:space="preserve"> 2014,</w:t>
      </w:r>
      <w:r w:rsidRPr="00E03BD5">
        <w:t xml:space="preserve"> the</w:t>
      </w:r>
      <w:r w:rsidR="00B4294D">
        <w:t xml:space="preserve"> United Steps moved one ste</w:t>
      </w:r>
      <w:r w:rsidR="00811825">
        <w:t>p closer to fulfilling that proposal</w:t>
      </w:r>
      <w:r w:rsidR="000C3E72">
        <w:t xml:space="preserve">: the release of the </w:t>
      </w:r>
      <w:r w:rsidRPr="00E03BD5">
        <w:t xml:space="preserve">Senate </w:t>
      </w:r>
      <w:r w:rsidR="000C3E72">
        <w:t>Intelligence Committee’s</w:t>
      </w:r>
      <w:r w:rsidRPr="00E03BD5">
        <w:t> </w:t>
      </w:r>
      <w:r w:rsidRPr="009E74C8">
        <w:t>report</w:t>
      </w:r>
      <w:r w:rsidRPr="00E03BD5">
        <w:t> </w:t>
      </w:r>
      <w:r>
        <w:t>on</w:t>
      </w:r>
      <w:r w:rsidRPr="00E03BD5">
        <w:t xml:space="preserve"> the CIA’s </w:t>
      </w:r>
      <w:r>
        <w:t xml:space="preserve">detention and </w:t>
      </w:r>
      <w:r w:rsidRPr="00E03BD5">
        <w:t xml:space="preserve">interrogation </w:t>
      </w:r>
      <w:r>
        <w:t>program</w:t>
      </w:r>
      <w:r w:rsidRPr="00E03BD5">
        <w:t xml:space="preserve"> </w:t>
      </w:r>
      <w:r>
        <w:t>for detained suspected terrorists.</w:t>
      </w:r>
      <w:r w:rsidR="000E1E22">
        <w:rPr>
          <w:rStyle w:val="FootnoteReference"/>
        </w:rPr>
        <w:footnoteReference w:id="233"/>
      </w:r>
      <w:r w:rsidR="00BC2F64">
        <w:t xml:space="preserve"> The report concluded</w:t>
      </w:r>
      <w:r>
        <w:t xml:space="preserve"> that the CIA’s “enhanced interrogation” techniques—which involved </w:t>
      </w:r>
      <w:r w:rsidR="00F56988">
        <w:t>waterboarding</w:t>
      </w:r>
      <w:r>
        <w:t xml:space="preserve">, </w:t>
      </w:r>
      <w:r w:rsidR="00F56988">
        <w:t xml:space="preserve">sexual violence, </w:t>
      </w:r>
      <w:r w:rsidRPr="00E03BD5">
        <w:t>the use of coffin-size confinement boxes</w:t>
      </w:r>
      <w:r>
        <w:t>, and other brutal methods unfit for description—not only thwarted effective intelligence gathering in the interests of national security, but also ran co</w:t>
      </w:r>
      <w:r w:rsidR="00BC2F64">
        <w:t>unter to the moral values of the</w:t>
      </w:r>
      <w:r>
        <w:t xml:space="preserve"> nation.</w:t>
      </w:r>
      <w:r w:rsidR="000E1E22">
        <w:rPr>
          <w:rStyle w:val="FootnoteReference"/>
        </w:rPr>
        <w:footnoteReference w:id="234"/>
      </w:r>
      <w:r>
        <w:t xml:space="preserve"> As observed by</w:t>
      </w:r>
      <w:r w:rsidR="00BC2F64">
        <w:t xml:space="preserve"> Dianne Feinstein,</w:t>
      </w:r>
      <w:r>
        <w:t xml:space="preserve"> the Senate Intelligence Committee’s Chair,</w:t>
      </w:r>
    </w:p>
    <w:p w14:paraId="3B2A42A6" w14:textId="0B68463B" w:rsidR="00816021" w:rsidRDefault="00816021" w:rsidP="00816021">
      <w:pPr>
        <w:ind w:left="1440" w:right="1440"/>
        <w:jc w:val="both"/>
      </w:pPr>
      <w:r>
        <w:t>The major lesson of this report is that regardless of the pressures and the need to act, the Intelligence Community’s actions must always reflect who we are as a nation, and adhere to our laws and standards. It is precisely at these times of national crisis that our government must be guided by the lessons of our history and subject decisions to internal and external review.</w:t>
      </w:r>
      <w:r w:rsidR="000E1E22">
        <w:rPr>
          <w:rStyle w:val="FootnoteReference"/>
        </w:rPr>
        <w:footnoteReference w:id="235"/>
      </w:r>
    </w:p>
    <w:p w14:paraId="2711BEEE" w14:textId="77777777" w:rsidR="00A865C6" w:rsidRDefault="00A865C6" w:rsidP="00000DBA"/>
    <w:p w14:paraId="6A4C0870" w14:textId="76D96B15" w:rsidR="00B91088" w:rsidRDefault="009820AE" w:rsidP="008B0C60">
      <w:pPr>
        <w:spacing w:after="160" w:line="360" w:lineRule="auto"/>
        <w:ind w:left="360" w:right="360"/>
        <w:jc w:val="both"/>
      </w:pPr>
      <w:r>
        <w:t xml:space="preserve">With </w:t>
      </w:r>
      <w:r w:rsidR="003A0833">
        <w:t>the report’s completion, the Committee Chair expressed optimism “that U.S. policy will never again allow for secret indefinite detention and the use of coercive interrogations.”</w:t>
      </w:r>
      <w:r w:rsidR="003A0833">
        <w:rPr>
          <w:rStyle w:val="FootnoteReference"/>
        </w:rPr>
        <w:footnoteReference w:id="236"/>
      </w:r>
      <w:r w:rsidR="003A0833">
        <w:t xml:space="preserve"> </w:t>
      </w:r>
      <w:r w:rsidR="00BD7940" w:rsidRPr="009820AE">
        <w:t xml:space="preserve">Whether </w:t>
      </w:r>
      <w:r w:rsidR="006B3FC4" w:rsidRPr="009820AE">
        <w:t xml:space="preserve">the United States </w:t>
      </w:r>
      <w:r w:rsidR="003A0833">
        <w:t>reco</w:t>
      </w:r>
      <w:r w:rsidR="00120DBE">
        <w:t xml:space="preserve">mmits itself </w:t>
      </w:r>
      <w:r w:rsidR="003A0833">
        <w:t>to the prohibition of</w:t>
      </w:r>
      <w:r w:rsidR="00DF5DC7" w:rsidRPr="009820AE">
        <w:t xml:space="preserve"> torture</w:t>
      </w:r>
      <w:r w:rsidR="003A0833">
        <w:t>, as “enshrined in legislation,”</w:t>
      </w:r>
      <w:r w:rsidR="003A0833">
        <w:rPr>
          <w:rStyle w:val="FootnoteReference"/>
        </w:rPr>
        <w:footnoteReference w:id="237"/>
      </w:r>
      <w:r w:rsidR="00DF5DC7" w:rsidRPr="009820AE">
        <w:t xml:space="preserve"> </w:t>
      </w:r>
      <w:r w:rsidR="00120DBE">
        <w:t xml:space="preserve">is a question that </w:t>
      </w:r>
      <w:r w:rsidR="00DF5DC7" w:rsidRPr="009820AE">
        <w:t>has yet to be de</w:t>
      </w:r>
      <w:r w:rsidR="00120DBE">
        <w:t>cided</w:t>
      </w:r>
      <w:r w:rsidR="00DF5DC7" w:rsidRPr="009820AE">
        <w:t>.</w:t>
      </w:r>
      <w:r w:rsidR="00120DBE">
        <w:rPr>
          <w:rStyle w:val="FootnoteReference"/>
        </w:rPr>
        <w:footnoteReference w:id="238"/>
      </w:r>
    </w:p>
    <w:p w14:paraId="735FE439" w14:textId="40C352EC" w:rsidR="00C8116C" w:rsidRDefault="00C8116C" w:rsidP="00C8116C">
      <w:pPr>
        <w:spacing w:after="160" w:line="360" w:lineRule="auto"/>
        <w:ind w:left="360" w:right="360"/>
        <w:jc w:val="center"/>
      </w:pPr>
      <w:r>
        <w:t>***</w:t>
      </w:r>
    </w:p>
    <w:p w14:paraId="5EB809B6" w14:textId="564F9E09" w:rsidR="00BB4184" w:rsidRDefault="00C8116C" w:rsidP="00C8116C">
      <w:pPr>
        <w:spacing w:after="160" w:line="360" w:lineRule="auto"/>
        <w:ind w:left="360" w:right="360"/>
        <w:jc w:val="both"/>
      </w:pPr>
      <w:r>
        <w:t xml:space="preserve">In </w:t>
      </w:r>
      <w:r w:rsidR="002F346C">
        <w:t>looking</w:t>
      </w:r>
      <w:r>
        <w:t xml:space="preserve"> forward</w:t>
      </w:r>
      <w:r w:rsidR="00430809">
        <w:t>, perhaps it i</w:t>
      </w:r>
      <w:r w:rsidR="002C1A95">
        <w:t xml:space="preserve">s worth revisiting </w:t>
      </w:r>
      <w:r w:rsidR="00054B41">
        <w:t>an earlier chapter from Indiana</w:t>
      </w:r>
      <w:r w:rsidR="00BB4184">
        <w:t xml:space="preserve"> legal history</w:t>
      </w:r>
      <w:r w:rsidR="0089214C">
        <w:t>.</w:t>
      </w:r>
      <w:r w:rsidR="00BB4184">
        <w:t xml:space="preserve"> During the American Civil War, threats of</w:t>
      </w:r>
      <w:r w:rsidR="00BB4184" w:rsidRPr="0082025A">
        <w:t xml:space="preserve"> a Confed</w:t>
      </w:r>
      <w:r w:rsidR="00BB4184">
        <w:t>erate fifth column in the North—especially in the border states of the Midwest—resulted in extraordinary restrictions on civil liberties by the Lincoln Administration, including the imposition of martial law, suspension of habeas corpus, and the use of military tribunals for civilians.</w:t>
      </w:r>
      <w:r w:rsidR="00BB4184" w:rsidRPr="0082025A">
        <w:rPr>
          <w:rStyle w:val="FootnoteReference"/>
        </w:rPr>
        <w:footnoteReference w:id="239"/>
      </w:r>
      <w:r w:rsidR="00BB4184" w:rsidRPr="0082025A">
        <w:t xml:space="preserve"> </w:t>
      </w:r>
    </w:p>
    <w:p w14:paraId="2E84B07D" w14:textId="61D181B7" w:rsidR="00BB4184" w:rsidRDefault="00BB4184" w:rsidP="00B1553F">
      <w:pPr>
        <w:spacing w:after="160" w:line="360" w:lineRule="auto"/>
        <w:ind w:left="360" w:right="360" w:firstLine="720"/>
        <w:jc w:val="both"/>
      </w:pPr>
      <w:r>
        <w:t>On October 5, 1864</w:t>
      </w:r>
      <w:r w:rsidRPr="00B62BA5">
        <w:t xml:space="preserve">, the </w:t>
      </w:r>
      <w:r>
        <w:t>U.S. g</w:t>
      </w:r>
      <w:r w:rsidRPr="00B62BA5">
        <w:t xml:space="preserve">overnment </w:t>
      </w:r>
      <w:r>
        <w:t>arrested</w:t>
      </w:r>
      <w:r w:rsidRPr="00B62BA5">
        <w:t xml:space="preserve"> Lambdin P. Milligan</w:t>
      </w:r>
      <w:r>
        <w:t>, a civilian and citizen of the State of Indiana,</w:t>
      </w:r>
      <w:r w:rsidRPr="00B62BA5">
        <w:t xml:space="preserve"> on charges of treason</w:t>
      </w:r>
      <w:r>
        <w:t xml:space="preserve">, conspiracy to </w:t>
      </w:r>
      <w:r w:rsidRPr="001A7752">
        <w:t>free Southern prisoners of war</w:t>
      </w:r>
      <w:r>
        <w:t xml:space="preserve">, </w:t>
      </w:r>
      <w:r w:rsidRPr="00B62BA5">
        <w:t>inciting insurrection</w:t>
      </w:r>
      <w:r>
        <w:t xml:space="preserve">, violating </w:t>
      </w:r>
      <w:r w:rsidRPr="00B62BA5">
        <w:t>the laws of war</w:t>
      </w:r>
      <w:r>
        <w:t>, and other crimes</w:t>
      </w:r>
      <w:r w:rsidRPr="00B62BA5">
        <w:t>.</w:t>
      </w:r>
      <w:r>
        <w:rPr>
          <w:rStyle w:val="FootnoteReference"/>
        </w:rPr>
        <w:footnoteReference w:id="240"/>
      </w:r>
      <w:r w:rsidRPr="00B62BA5">
        <w:t xml:space="preserve"> </w:t>
      </w:r>
      <w:r w:rsidRPr="001A7752">
        <w:t xml:space="preserve">Milligan and </w:t>
      </w:r>
      <w:r>
        <w:t xml:space="preserve">his alleged co-conspirators </w:t>
      </w:r>
      <w:r w:rsidRPr="001A7752">
        <w:t>were</w:t>
      </w:r>
      <w:r>
        <w:t xml:space="preserve"> tried and</w:t>
      </w:r>
      <w:r w:rsidRPr="001A7752">
        <w:t xml:space="preserve"> c</w:t>
      </w:r>
      <w:r>
        <w:t>onvicted by a military tribunal, and sentenced to death</w:t>
      </w:r>
      <w:r w:rsidRPr="001A7752">
        <w:t>.</w:t>
      </w:r>
      <w:r>
        <w:t xml:space="preserve"> Milligan </w:t>
      </w:r>
      <w:r w:rsidRPr="001A7752">
        <w:t xml:space="preserve">filed a petition for habeas corpus, </w:t>
      </w:r>
      <w:r>
        <w:t xml:space="preserve">challenging the military tribunal’s jurisdiction over him as a civilian residing outside the theatre of war. In </w:t>
      </w:r>
      <w:r w:rsidRPr="001A7752">
        <w:rPr>
          <w:i/>
        </w:rPr>
        <w:t>Ex parte Milligan</w:t>
      </w:r>
      <w:r w:rsidRPr="001A7752">
        <w:t xml:space="preserve">, </w:t>
      </w:r>
      <w:r>
        <w:t xml:space="preserve">the U.S. Supreme Court narrowly found </w:t>
      </w:r>
      <w:r w:rsidRPr="001A7752">
        <w:t xml:space="preserve">that a </w:t>
      </w:r>
      <w:r>
        <w:t xml:space="preserve">citizen </w:t>
      </w:r>
      <w:r w:rsidRPr="001A7752">
        <w:t xml:space="preserve">civilian </w:t>
      </w:r>
      <w:r>
        <w:t>could not</w:t>
      </w:r>
      <w:r w:rsidRPr="001A7752">
        <w:t xml:space="preserve"> be tried by a military court in jurisdiction</w:t>
      </w:r>
      <w:r>
        <w:t xml:space="preserve">s where </w:t>
      </w:r>
      <w:r w:rsidRPr="001A7752">
        <w:t xml:space="preserve">civil courts are </w:t>
      </w:r>
      <w:r>
        <w:t>available</w:t>
      </w:r>
      <w:r w:rsidRPr="001A7752">
        <w:t>.</w:t>
      </w:r>
      <w:r>
        <w:rPr>
          <w:rStyle w:val="FootnoteReference"/>
        </w:rPr>
        <w:footnoteReference w:id="241"/>
      </w:r>
      <w:r w:rsidRPr="001A7752">
        <w:t> </w:t>
      </w:r>
      <w:r>
        <w:t xml:space="preserve">In writing for the majority of the Court, </w:t>
      </w:r>
      <w:r w:rsidR="007F5EBD">
        <w:t>Justice David</w:t>
      </w:r>
      <w:r w:rsidRPr="00C94894">
        <w:t xml:space="preserve"> Davis </w:t>
      </w:r>
      <w:r>
        <w:t>famously pronounced that</w:t>
      </w:r>
    </w:p>
    <w:p w14:paraId="75DF8A67" w14:textId="0D58ECF2" w:rsidR="00DF607B" w:rsidRDefault="00BB4184" w:rsidP="00DF607B">
      <w:pPr>
        <w:ind w:left="1440" w:right="1440"/>
        <w:jc w:val="both"/>
      </w:pPr>
      <w:r>
        <w:t>[t]</w:t>
      </w:r>
      <w:r w:rsidRPr="00C94894">
        <w:t>he Constitution of the United States is a law for rulers and people, equally in war and in peace, and covers with the shield of its protection all classes of men, at all times, and under all circumstances. No doctrine, involving more pernicious consequences, was ever invented by the wit of man than that any of its provisions can be suspended during any of the great exigencies of government. Such a doctrine leads directly to anarchy or despotism, but the theory of necessity on which it is based is false</w:t>
      </w:r>
      <w:r>
        <w:t>.</w:t>
      </w:r>
      <w:r w:rsidR="00DF607B">
        <w:rPr>
          <w:rStyle w:val="FootnoteReference"/>
        </w:rPr>
        <w:footnoteReference w:id="242"/>
      </w:r>
    </w:p>
    <w:p w14:paraId="2649BCDF" w14:textId="77777777" w:rsidR="00DF607B" w:rsidRDefault="00DF607B" w:rsidP="0029137B"/>
    <w:p w14:paraId="4948D1D8" w14:textId="434294BF" w:rsidR="007D4F0D" w:rsidRDefault="00BB4184" w:rsidP="007D4F0D">
      <w:pPr>
        <w:spacing w:after="160" w:line="360" w:lineRule="auto"/>
        <w:ind w:left="360" w:right="360" w:firstLine="720"/>
        <w:jc w:val="both"/>
      </w:pPr>
      <w:r>
        <w:t>Although often hailed as a landmark decision</w:t>
      </w:r>
      <w:r w:rsidR="00DF607B">
        <w:t xml:space="preserve"> in protecting civil liberties,</w:t>
      </w:r>
      <w:r w:rsidR="0029137B" w:rsidRPr="00BB4184">
        <w:rPr>
          <w:i/>
        </w:rPr>
        <w:t xml:space="preserve"> Milligan</w:t>
      </w:r>
      <w:r w:rsidR="00DF607B">
        <w:t xml:space="preserve">’s authority </w:t>
      </w:r>
      <w:r w:rsidR="00BC2F64">
        <w:t xml:space="preserve">gradually </w:t>
      </w:r>
      <w:r w:rsidR="00DF607B">
        <w:t>subsided unde</w:t>
      </w:r>
      <w:r w:rsidR="0045341B">
        <w:t>r the weight of subsequent case law</w:t>
      </w:r>
      <w:r w:rsidR="00DF607B">
        <w:t xml:space="preserve">. </w:t>
      </w:r>
      <w:r w:rsidR="0045341B" w:rsidRPr="0045341B">
        <w:rPr>
          <w:i/>
        </w:rPr>
        <w:t>Ex parte Quiri</w:t>
      </w:r>
      <w:r w:rsidR="00BB567F">
        <w:rPr>
          <w:i/>
        </w:rPr>
        <w:t xml:space="preserve">n </w:t>
      </w:r>
      <w:r w:rsidR="00BB567F">
        <w:t xml:space="preserve">involved the trial and conviction of </w:t>
      </w:r>
      <w:r w:rsidR="0045341B" w:rsidRPr="0045341B">
        <w:t>Nazi saboteurs</w:t>
      </w:r>
      <w:r w:rsidR="00C22369">
        <w:t xml:space="preserve">—two of whom were American citizen expatriates—by </w:t>
      </w:r>
      <w:r w:rsidR="0045341B">
        <w:t>a U.S. milita</w:t>
      </w:r>
      <w:r w:rsidR="00BB567F">
        <w:t>ry tribunal for</w:t>
      </w:r>
      <w:r w:rsidR="0045341B">
        <w:t xml:space="preserve"> conspiring</w:t>
      </w:r>
      <w:r w:rsidR="00475854">
        <w:t>, under cloak of civilian dress,</w:t>
      </w:r>
      <w:r w:rsidR="0045341B">
        <w:t xml:space="preserve"> to destroy </w:t>
      </w:r>
      <w:r w:rsidR="00475854">
        <w:t xml:space="preserve">American </w:t>
      </w:r>
      <w:r w:rsidR="0045341B">
        <w:t>war facilities</w:t>
      </w:r>
      <w:r w:rsidR="00BB567F">
        <w:t xml:space="preserve"> during World War II.</w:t>
      </w:r>
      <w:r w:rsidR="00BB567F">
        <w:rPr>
          <w:rStyle w:val="FootnoteReference"/>
        </w:rPr>
        <w:footnoteReference w:id="243"/>
      </w:r>
      <w:r w:rsidR="00BB567F">
        <w:t xml:space="preserve"> Citing </w:t>
      </w:r>
      <w:r w:rsidR="00BB567F" w:rsidRPr="00BB567F">
        <w:rPr>
          <w:i/>
        </w:rPr>
        <w:t>Milligan</w:t>
      </w:r>
      <w:r w:rsidR="00BB567F">
        <w:t>, they petitioned for habeas corpus</w:t>
      </w:r>
      <w:r w:rsidR="0045341B">
        <w:t xml:space="preserve"> </w:t>
      </w:r>
      <w:r w:rsidR="00BB567F">
        <w:t>and sought trial by civilian court.</w:t>
      </w:r>
      <w:r w:rsidR="00BB567F">
        <w:rPr>
          <w:rStyle w:val="FootnoteReference"/>
        </w:rPr>
        <w:footnoteReference w:id="244"/>
      </w:r>
      <w:r w:rsidR="00BB567F">
        <w:t xml:space="preserve"> </w:t>
      </w:r>
      <w:r w:rsidR="006B0838">
        <w:t>In rejecting their petition</w:t>
      </w:r>
      <w:r w:rsidR="0045341B" w:rsidRPr="0045341B">
        <w:t>, the U.S. Supreme Court distinguished between the “armed forces and the peaceful populations of belligerent nations and also between those who are lawful and unlawful combatants.”</w:t>
      </w:r>
      <w:r w:rsidR="006B0838">
        <w:rPr>
          <w:rStyle w:val="FootnoteReference"/>
        </w:rPr>
        <w:footnoteReference w:id="245"/>
      </w:r>
      <w:r w:rsidR="0045341B" w:rsidRPr="0045341B">
        <w:t xml:space="preserve"> </w:t>
      </w:r>
      <w:r w:rsidR="006B0838">
        <w:t>The Nazi saboteurs, as members of an enemy state</w:t>
      </w:r>
      <w:r w:rsidR="00F40C83">
        <w:t>,</w:t>
      </w:r>
      <w:r w:rsidR="006B0838">
        <w:t xml:space="preserve"> fell into this latter category</w:t>
      </w:r>
      <w:r w:rsidR="00471188">
        <w:t xml:space="preserve"> and, i</w:t>
      </w:r>
      <w:r w:rsidR="00F40C83">
        <w:t xml:space="preserve">n </w:t>
      </w:r>
      <w:r w:rsidR="00475854">
        <w:t xml:space="preserve">violating the laws of war, </w:t>
      </w:r>
      <w:r w:rsidR="00F40C83">
        <w:t>were</w:t>
      </w:r>
      <w:r w:rsidR="006B0838">
        <w:t xml:space="preserve"> </w:t>
      </w:r>
      <w:r w:rsidR="00F40C83">
        <w:t>“</w:t>
      </w:r>
      <w:r w:rsidR="0045341B" w:rsidRPr="0045341B">
        <w:t>subject to trial and punishment by military tribunals</w:t>
      </w:r>
      <w:r w:rsidR="00F40C83">
        <w:t>.”</w:t>
      </w:r>
      <w:r w:rsidR="00F40C83">
        <w:rPr>
          <w:rStyle w:val="FootnoteReference"/>
        </w:rPr>
        <w:footnoteReference w:id="246"/>
      </w:r>
      <w:r w:rsidR="007D4F0D">
        <w:t xml:space="preserve"> Milligan, on the other hand, “</w:t>
      </w:r>
      <w:r w:rsidR="007D4F0D" w:rsidRPr="007D4F0D">
        <w:t>not being a part of or associated with the armed forces of the enemy, was a non-belligerent, not su</w:t>
      </w:r>
      <w:r w:rsidR="007D4F0D">
        <w:t xml:space="preserve">bject to the law of war save as . . . </w:t>
      </w:r>
      <w:r w:rsidR="007D4F0D" w:rsidRPr="007D4F0D">
        <w:t>martial law might be constitutionally established.</w:t>
      </w:r>
      <w:r w:rsidR="007D4F0D">
        <w:t>”</w:t>
      </w:r>
      <w:r w:rsidR="007D4F0D">
        <w:rPr>
          <w:rStyle w:val="FootnoteReference"/>
        </w:rPr>
        <w:footnoteReference w:id="247"/>
      </w:r>
    </w:p>
    <w:p w14:paraId="1B78E915" w14:textId="3F9B701C" w:rsidR="008B1D73" w:rsidRDefault="00F17C92" w:rsidP="00640615">
      <w:pPr>
        <w:spacing w:after="160" w:line="360" w:lineRule="auto"/>
        <w:ind w:left="360" w:right="360" w:firstLine="720"/>
        <w:jc w:val="both"/>
      </w:pPr>
      <w:r>
        <w:t>Despite the eroding effects of intervening precedent,</w:t>
      </w:r>
      <w:r w:rsidRPr="00B30D71">
        <w:t xml:space="preserve"> </w:t>
      </w:r>
      <w:r w:rsidRPr="005C30E5">
        <w:rPr>
          <w:i/>
        </w:rPr>
        <w:t>Milligan</w:t>
      </w:r>
      <w:r>
        <w:t xml:space="preserve"> remains</w:t>
      </w:r>
      <w:r w:rsidRPr="00B30D71">
        <w:t xml:space="preserve"> an imp</w:t>
      </w:r>
      <w:r>
        <w:t>ortant decision</w:t>
      </w:r>
      <w:r w:rsidR="00431400">
        <w:t xml:space="preserve"> in the</w:t>
      </w:r>
      <w:r w:rsidR="00A21E16">
        <w:t xml:space="preserve"> context of the War on Terror</w:t>
      </w:r>
      <w:r>
        <w:t>; along with</w:t>
      </w:r>
      <w:r w:rsidRPr="00B30D71">
        <w:t xml:space="preserve"> </w:t>
      </w:r>
      <w:r w:rsidRPr="005C30E5">
        <w:rPr>
          <w:i/>
        </w:rPr>
        <w:t>Hamdan</w:t>
      </w:r>
      <w:r>
        <w:t xml:space="preserve"> and </w:t>
      </w:r>
      <w:r w:rsidRPr="00197C5B">
        <w:rPr>
          <w:i/>
        </w:rPr>
        <w:t>Boumediene</w:t>
      </w:r>
      <w:r w:rsidRPr="00B30D71">
        <w:t xml:space="preserve">, </w:t>
      </w:r>
      <w:r>
        <w:t xml:space="preserve">it </w:t>
      </w:r>
      <w:r w:rsidR="00A05A90">
        <w:t>serves as a</w:t>
      </w:r>
      <w:r w:rsidRPr="00B30D71">
        <w:t xml:space="preserve"> </w:t>
      </w:r>
      <w:r w:rsidR="00A05A90">
        <w:t>“</w:t>
      </w:r>
      <w:r w:rsidRPr="00B30D71">
        <w:t>precedential counterweight to claims of unlimited</w:t>
      </w:r>
      <w:r>
        <w:t xml:space="preserve"> </w:t>
      </w:r>
      <w:r w:rsidRPr="00B30D71">
        <w:t>government authority in wartime.</w:t>
      </w:r>
      <w:r>
        <w:t>”</w:t>
      </w:r>
      <w:r>
        <w:rPr>
          <w:rStyle w:val="FootnoteReference"/>
        </w:rPr>
        <w:footnoteReference w:id="248"/>
      </w:r>
      <w:r w:rsidR="00640615">
        <w:t xml:space="preserve"> Still, there has been little</w:t>
      </w:r>
      <w:r w:rsidR="008B1D73" w:rsidRPr="008B1D73">
        <w:t xml:space="preserve"> clarification</w:t>
      </w:r>
      <w:r w:rsidR="00640615">
        <w:t xml:space="preserve"> by the courts</w:t>
      </w:r>
      <w:r w:rsidR="008B1D73" w:rsidRPr="008B1D73">
        <w:t xml:space="preserve"> of the legal </w:t>
      </w:r>
      <w:r w:rsidR="00475854">
        <w:t xml:space="preserve">issues surrounding the </w:t>
      </w:r>
      <w:r w:rsidR="004A281E">
        <w:t>detention of unlawful combatants</w:t>
      </w:r>
      <w:r w:rsidR="00640615">
        <w:t xml:space="preserve">, </w:t>
      </w:r>
      <w:r w:rsidR="00640615" w:rsidRPr="008B1D73">
        <w:t xml:space="preserve">whether </w:t>
      </w:r>
      <w:r w:rsidR="00640615">
        <w:t xml:space="preserve">citizens or non-citizen of the United States. </w:t>
      </w:r>
      <w:r w:rsidR="004A281E">
        <w:rPr>
          <w:rStyle w:val="FootnoteReference"/>
        </w:rPr>
        <w:footnoteReference w:id="249"/>
      </w:r>
      <w:r w:rsidR="008B1D73">
        <w:t xml:space="preserve"> </w:t>
      </w:r>
      <w:r w:rsidR="00475854">
        <w:t>And</w:t>
      </w:r>
      <w:r w:rsidR="004A281E">
        <w:t xml:space="preserve"> despite </w:t>
      </w:r>
      <w:r w:rsidR="00E2159C">
        <w:t>efforts</w:t>
      </w:r>
      <w:r w:rsidR="004A281E">
        <w:t xml:space="preserve"> by the Obama Administration</w:t>
      </w:r>
      <w:r w:rsidR="00E2159C">
        <w:t xml:space="preserve"> to transfer</w:t>
      </w:r>
      <w:r w:rsidR="004A281E">
        <w:t xml:space="preserve"> detainees to the federal court system</w:t>
      </w:r>
      <w:r w:rsidR="008B1D73" w:rsidRPr="008B1D73">
        <w:t>,</w:t>
      </w:r>
      <w:r w:rsidR="00475854">
        <w:t xml:space="preserve"> </w:t>
      </w:r>
      <w:r w:rsidR="00E2159C">
        <w:t>the task has proven unworkable</w:t>
      </w:r>
      <w:r w:rsidR="004A281E">
        <w:t>.</w:t>
      </w:r>
      <w:r w:rsidR="00E2159C">
        <w:rPr>
          <w:rStyle w:val="FootnoteReference"/>
        </w:rPr>
        <w:footnoteReference w:id="250"/>
      </w:r>
      <w:r w:rsidR="00E2159C">
        <w:t xml:space="preserve"> </w:t>
      </w:r>
      <w:r w:rsidR="008B1D73">
        <w:t xml:space="preserve">In 2009, following </w:t>
      </w:r>
      <w:r w:rsidR="00E2159C">
        <w:t xml:space="preserve">the </w:t>
      </w:r>
      <w:r w:rsidR="008B1D73">
        <w:t>President</w:t>
      </w:r>
      <w:r w:rsidR="00E2159C">
        <w:t>’s</w:t>
      </w:r>
      <w:r w:rsidR="008B1D73">
        <w:t xml:space="preserve"> executive order to close the facility</w:t>
      </w:r>
      <w:r w:rsidR="00E2159C">
        <w:t xml:space="preserve"> at </w:t>
      </w:r>
      <w:r w:rsidR="00E2159C" w:rsidRPr="00647F3B">
        <w:t>Guantánamo</w:t>
      </w:r>
      <w:r w:rsidR="00E2159C">
        <w:t xml:space="preserve"> Bay</w:t>
      </w:r>
      <w:r w:rsidR="008B1D73">
        <w:t>, administration officials planned to send a limited number of detainees to a maximum-security prison in northwest Illinois.</w:t>
      </w:r>
      <w:r w:rsidR="008B1D73">
        <w:rPr>
          <w:rStyle w:val="FootnoteReference"/>
        </w:rPr>
        <w:footnoteReference w:id="251"/>
      </w:r>
      <w:r w:rsidR="008B1D73">
        <w:t xml:space="preserve"> Congress rejected the proposal, with critics charging the administration with “fail[ing] </w:t>
      </w:r>
      <w:r w:rsidR="008B1D73" w:rsidRPr="00BC0CB6">
        <w:t>to explain how transferring terrorists to Gitmo North will make Americans safer than keeping terrorists off of our shores in the secure facility in Cuba</w:t>
      </w:r>
      <w:r w:rsidR="008B1D73">
        <w:t>.”</w:t>
      </w:r>
      <w:r w:rsidR="008B1D73">
        <w:rPr>
          <w:rStyle w:val="FootnoteReference"/>
        </w:rPr>
        <w:footnoteReference w:id="252"/>
      </w:r>
      <w:r w:rsidR="008B1D73">
        <w:t xml:space="preserve"> </w:t>
      </w:r>
      <w:r w:rsidR="008B1D73" w:rsidRPr="001126FE">
        <w:t xml:space="preserve">The National </w:t>
      </w:r>
      <w:r w:rsidR="008B1D73">
        <w:t xml:space="preserve">Defense Authorization Act for Fiscal Year </w:t>
      </w:r>
      <w:r w:rsidR="008B1D73" w:rsidRPr="001126FE">
        <w:t>2012</w:t>
      </w:r>
      <w:r w:rsidR="008B1D73">
        <w:t xml:space="preserve"> foreclosed the possibility of detainee transfers to the United States and prohibited</w:t>
      </w:r>
      <w:r w:rsidR="008B1D73" w:rsidRPr="001126FE">
        <w:t xml:space="preserve"> the use </w:t>
      </w:r>
      <w:r w:rsidR="008B1D73">
        <w:t>of</w:t>
      </w:r>
      <w:r w:rsidR="008B1D73" w:rsidRPr="001126FE">
        <w:t xml:space="preserve"> funds </w:t>
      </w:r>
      <w:r w:rsidR="008B1D73">
        <w:t>“</w:t>
      </w:r>
      <w:r w:rsidR="008B1D73" w:rsidRPr="009932AF">
        <w:t>to c</w:t>
      </w:r>
      <w:r w:rsidR="008B1D73">
        <w:t xml:space="preserve">onstruct or modify any facility </w:t>
      </w:r>
      <w:r w:rsidR="008B1D73" w:rsidRPr="009932AF">
        <w:t>in the United States</w:t>
      </w:r>
      <w:r w:rsidR="008B1D73">
        <w:t xml:space="preserve"> . . .</w:t>
      </w:r>
      <w:r w:rsidR="008B1D73" w:rsidRPr="009932AF">
        <w:t xml:space="preserve"> to house any</w:t>
      </w:r>
      <w:r w:rsidR="008B1D73">
        <w:t xml:space="preserve"> </w:t>
      </w:r>
      <w:r w:rsidR="008B1D73" w:rsidRPr="009932AF">
        <w:t>individual detained at Guantanamo for the purposes of detention</w:t>
      </w:r>
      <w:r w:rsidR="008B1D73">
        <w:t xml:space="preserve"> </w:t>
      </w:r>
      <w:r w:rsidR="00CF0B77">
        <w:t>or imprisonment.”</w:t>
      </w:r>
      <w:r w:rsidR="008B1D73" w:rsidRPr="00C60CBE">
        <w:rPr>
          <w:rStyle w:val="FootnoteReference"/>
          <w:kern w:val="18"/>
        </w:rPr>
        <w:footnoteReference w:id="253"/>
      </w:r>
      <w:r w:rsidR="008B1D73" w:rsidRPr="001126FE">
        <w:t xml:space="preserve"> </w:t>
      </w:r>
      <w:r w:rsidR="00335F13">
        <w:t>Congress included</w:t>
      </w:r>
      <w:r w:rsidR="008B1D73">
        <w:t xml:space="preserve"> s</w:t>
      </w:r>
      <w:r w:rsidR="008B1D73" w:rsidRPr="001126FE">
        <w:t>imilar restrictions</w:t>
      </w:r>
      <w:r w:rsidR="00335F13">
        <w:t xml:space="preserve"> in s</w:t>
      </w:r>
      <w:r w:rsidR="00335F13" w:rsidRPr="001126FE">
        <w:t>ubsequent legislation</w:t>
      </w:r>
      <w:r w:rsidR="00335F13">
        <w:t>.</w:t>
      </w:r>
      <w:r w:rsidR="008B1D73">
        <w:rPr>
          <w:rStyle w:val="FootnoteReference"/>
        </w:rPr>
        <w:footnoteReference w:id="254"/>
      </w:r>
      <w:r w:rsidR="008B1D73">
        <w:t xml:space="preserve"> Despit</w:t>
      </w:r>
      <w:r w:rsidR="00E2159C">
        <w:t>e renewed efforts by the Obama A</w:t>
      </w:r>
      <w:r w:rsidR="008B1D73">
        <w:t xml:space="preserve">dministration to lift these </w:t>
      </w:r>
      <w:r w:rsidR="00CF0B77">
        <w:t>constraints</w:t>
      </w:r>
      <w:r w:rsidR="008B1D73">
        <w:t>,</w:t>
      </w:r>
      <w:r w:rsidR="008B1D73" w:rsidRPr="003B6138">
        <w:t xml:space="preserve"> </w:t>
      </w:r>
      <w:r w:rsidR="008B1D73">
        <w:t>Congress seems poised to maintain the status quo.</w:t>
      </w:r>
      <w:r w:rsidR="008B1D73">
        <w:rPr>
          <w:rStyle w:val="FootnoteReference"/>
        </w:rPr>
        <w:footnoteReference w:id="255"/>
      </w:r>
    </w:p>
    <w:p w14:paraId="7CAF6791" w14:textId="77777777" w:rsidR="0064309B" w:rsidRDefault="0064309B"/>
    <w:p w14:paraId="0FEDE79E" w14:textId="78E1DB62" w:rsidR="00DA6100" w:rsidRDefault="00D84B52" w:rsidP="00E549E6">
      <w:pPr>
        <w:spacing w:after="160" w:line="360" w:lineRule="auto"/>
        <w:ind w:left="360" w:right="360"/>
        <w:jc w:val="both"/>
      </w:pPr>
      <w:r>
        <w:t>There is no doubt that acts of international terrorism plague the global community</w:t>
      </w:r>
      <w:r w:rsidR="00BD679A">
        <w:t>. A</w:t>
      </w:r>
      <w:r>
        <w:t xml:space="preserve">nd those guilty of violating the laws of war must be held accountable for their crimes. However, the use of torture and the selective compliance with international humanitarian law risks </w:t>
      </w:r>
      <w:r w:rsidRPr="00EE7996">
        <w:t xml:space="preserve">undermining </w:t>
      </w:r>
      <w:r>
        <w:t>America’s</w:t>
      </w:r>
      <w:r w:rsidRPr="00EE7996">
        <w:t xml:space="preserve"> </w:t>
      </w:r>
      <w:r>
        <w:t>credibility</w:t>
      </w:r>
      <w:r w:rsidRPr="00EE7996">
        <w:t xml:space="preserve"> </w:t>
      </w:r>
      <w:r>
        <w:t>abroad, threatens to alienate our wartime allies, and increases the likelihood of enemy retaliation against members of the U.S. armed forces.</w:t>
      </w:r>
      <w:r>
        <w:rPr>
          <w:rStyle w:val="FootnoteReference"/>
        </w:rPr>
        <w:footnoteReference w:id="256"/>
      </w:r>
      <w:r w:rsidR="007341DA">
        <w:t xml:space="preserve"> Moreover, the decision to extend legal protections to the enemy combatant—whether under the U.S. Constitution or the Geneva Conventions—places no barrier </w:t>
      </w:r>
      <w:r w:rsidR="007341DA" w:rsidRPr="00A21E16">
        <w:t>in seeking justice</w:t>
      </w:r>
      <w:r w:rsidR="002F5A34">
        <w:t>.</w:t>
      </w:r>
      <w:r w:rsidR="007341DA">
        <w:rPr>
          <w:rStyle w:val="FootnoteReference"/>
        </w:rPr>
        <w:footnoteReference w:id="257"/>
      </w:r>
      <w:r w:rsidR="002F5A34">
        <w:t xml:space="preserve"> In the end, to paraphrase Justice Steven David, Americans must decide if </w:t>
      </w:r>
      <w:r w:rsidR="002F5A34" w:rsidRPr="00982DF3">
        <w:rPr>
          <w:i/>
        </w:rPr>
        <w:t>al-Qaeda</w:t>
      </w:r>
      <w:r w:rsidR="002F5A34">
        <w:t xml:space="preserve"> or other terrorist network presents any greater threat to the United States than Nazi saboteurs during World War II, a </w:t>
      </w:r>
      <w:r w:rsidR="00E549E6">
        <w:t xml:space="preserve">Confederate </w:t>
      </w:r>
      <w:r w:rsidR="002F5A34">
        <w:t xml:space="preserve">fifth column in the north during the Civil War, </w:t>
      </w:r>
      <w:r w:rsidR="00E549E6">
        <w:t>or even individuals such as Timothy McVeigh, all of whom received the full protection of the law in the civilian courts of the United States.</w:t>
      </w:r>
      <w:r w:rsidR="00E549E6">
        <w:rPr>
          <w:rStyle w:val="FootnoteReference"/>
        </w:rPr>
        <w:footnoteReference w:id="258"/>
      </w:r>
    </w:p>
    <w:p w14:paraId="73E407DB" w14:textId="77777777" w:rsidR="009B1C98" w:rsidRPr="0082025A" w:rsidRDefault="009B1C98" w:rsidP="008B0C60">
      <w:pPr>
        <w:spacing w:after="160" w:line="360" w:lineRule="auto"/>
        <w:ind w:firstLine="720"/>
        <w:jc w:val="both"/>
      </w:pPr>
    </w:p>
    <w:p w14:paraId="1A8973DF" w14:textId="77777777" w:rsidR="0092586E" w:rsidRPr="0082025A" w:rsidRDefault="0092586E" w:rsidP="008B0C60">
      <w:pPr>
        <w:spacing w:after="160" w:line="360" w:lineRule="auto"/>
        <w:ind w:firstLine="720"/>
        <w:jc w:val="both"/>
        <w:rPr>
          <w:b/>
        </w:rPr>
      </w:pPr>
    </w:p>
    <w:p w14:paraId="62460410" w14:textId="77777777" w:rsidR="004461D8" w:rsidRPr="0082025A" w:rsidRDefault="004461D8" w:rsidP="008B0C60">
      <w:pPr>
        <w:spacing w:after="160" w:line="360" w:lineRule="auto"/>
        <w:ind w:firstLine="720"/>
        <w:jc w:val="both"/>
        <w:rPr>
          <w:rFonts w:eastAsia="Times New Roman" w:cs="Arial"/>
        </w:rPr>
      </w:pPr>
    </w:p>
    <w:sectPr w:rsidR="004461D8" w:rsidRPr="0082025A" w:rsidSect="002F5A34">
      <w:footerReference w:type="even" r:id="rId9"/>
      <w:footerReference w:type="default" r:id="rId10"/>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3653" w14:textId="77777777" w:rsidR="009E62A3" w:rsidRDefault="009E62A3" w:rsidP="00ED3477">
      <w:r>
        <w:separator/>
      </w:r>
    </w:p>
  </w:endnote>
  <w:endnote w:type="continuationSeparator" w:id="0">
    <w:p w14:paraId="491AE9D9" w14:textId="77777777" w:rsidR="009E62A3" w:rsidRDefault="009E62A3" w:rsidP="00ED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auto"/>
    <w:pitch w:val="variable"/>
    <w:sig w:usb0="60000287" w:usb1="00000001"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4213" w14:textId="77777777" w:rsidR="009E62A3" w:rsidRDefault="009E62A3" w:rsidP="00446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9F2FB" w14:textId="77777777" w:rsidR="009E62A3" w:rsidRDefault="009E62A3" w:rsidP="004462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6CFA" w14:textId="77777777" w:rsidR="009E62A3" w:rsidRDefault="009E62A3" w:rsidP="00446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E24">
      <w:rPr>
        <w:rStyle w:val="PageNumber"/>
        <w:noProof/>
      </w:rPr>
      <w:t>1</w:t>
    </w:r>
    <w:r>
      <w:rPr>
        <w:rStyle w:val="PageNumber"/>
      </w:rPr>
      <w:fldChar w:fldCharType="end"/>
    </w:r>
  </w:p>
  <w:p w14:paraId="6AA653BD" w14:textId="77777777" w:rsidR="009E62A3" w:rsidRDefault="009E62A3" w:rsidP="004462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CD9F2" w14:textId="299F8584" w:rsidR="009E62A3" w:rsidRDefault="009E62A3" w:rsidP="002F5912">
      <w:r>
        <w:t xml:space="preserve">      </w:t>
      </w:r>
      <w:r>
        <w:separator/>
      </w:r>
    </w:p>
  </w:footnote>
  <w:footnote w:type="continuationSeparator" w:id="0">
    <w:p w14:paraId="10D33AFF" w14:textId="38C1CE61" w:rsidR="009E62A3" w:rsidRPr="0061526A" w:rsidRDefault="009E62A3" w:rsidP="0061526A">
      <w:pPr>
        <w:pStyle w:val="Footer"/>
      </w:pPr>
      <w:r>
        <w:t xml:space="preserve">      </w:t>
      </w:r>
      <w:r>
        <w:separator/>
      </w:r>
    </w:p>
  </w:footnote>
  <w:footnote w:type="continuationNotice" w:id="1">
    <w:p w14:paraId="7D0A3C1E" w14:textId="77777777" w:rsidR="009E62A3" w:rsidRDefault="009E62A3"/>
  </w:footnote>
  <w:footnote w:id="2">
    <w:p w14:paraId="0E9FA6BE" w14:textId="6696E438" w:rsidR="009E62A3" w:rsidRDefault="009E62A3" w:rsidP="00B113CF">
      <w:pPr>
        <w:pStyle w:val="FootnoteText"/>
        <w:ind w:left="360" w:right="360"/>
        <w:jc w:val="both"/>
      </w:pPr>
      <w:r>
        <w:rPr>
          <w:rStyle w:val="FootnoteReference"/>
        </w:rPr>
        <w:footnoteRef/>
      </w:r>
      <w:r>
        <w:t xml:space="preserve"> </w:t>
      </w:r>
      <w:r w:rsidRPr="001245C9">
        <w:rPr>
          <w:i/>
        </w:rPr>
        <w:t xml:space="preserve">War Prisoners </w:t>
      </w:r>
      <w:r>
        <w:rPr>
          <w:i/>
        </w:rPr>
        <w:t>Arrive in County</w:t>
      </w:r>
      <w:r>
        <w:t xml:space="preserve">, </w:t>
      </w:r>
      <w:r w:rsidRPr="001245C9">
        <w:rPr>
          <w:smallCaps/>
          <w:szCs w:val="20"/>
        </w:rPr>
        <w:t>Tipton Daily Trib</w:t>
      </w:r>
      <w:r>
        <w:t xml:space="preserve">., Aug. 24, 1944 [hereinafter </w:t>
      </w:r>
      <w:r w:rsidRPr="001245C9">
        <w:rPr>
          <w:i/>
        </w:rPr>
        <w:t xml:space="preserve">War Prisoners </w:t>
      </w:r>
      <w:r>
        <w:rPr>
          <w:i/>
        </w:rPr>
        <w:t>Arrive</w:t>
      </w:r>
      <w:r>
        <w:t xml:space="preserve">], </w:t>
      </w:r>
      <w:r>
        <w:rPr>
          <w:i/>
        </w:rPr>
        <w:t>microfilm scan available</w:t>
      </w:r>
      <w:r w:rsidRPr="007A5F1C">
        <w:rPr>
          <w:i/>
        </w:rPr>
        <w:t xml:space="preserve"> at</w:t>
      </w:r>
      <w:r>
        <w:t xml:space="preserve"> </w:t>
      </w:r>
      <w:r w:rsidRPr="007A5F1C">
        <w:t>https://goo.gl/Vui6Wc</w:t>
      </w:r>
      <w:r>
        <w:t>.</w:t>
      </w:r>
    </w:p>
  </w:footnote>
  <w:footnote w:id="3">
    <w:p w14:paraId="0C90A0A9" w14:textId="4004525D" w:rsidR="009E62A3" w:rsidRDefault="009E62A3" w:rsidP="00B113CF">
      <w:pPr>
        <w:pStyle w:val="FootnoteText"/>
        <w:ind w:left="360" w:right="360"/>
        <w:jc w:val="both"/>
      </w:pPr>
      <w:r>
        <w:rPr>
          <w:rStyle w:val="FootnoteReference"/>
        </w:rPr>
        <w:footnoteRef/>
      </w:r>
      <w:r>
        <w:t xml:space="preserve"> </w:t>
      </w:r>
      <w:r>
        <w:rPr>
          <w:i/>
        </w:rPr>
        <w:t>Canneries May Use Prisoners</w:t>
      </w:r>
      <w:r>
        <w:t xml:space="preserve">, </w:t>
      </w:r>
      <w:r w:rsidRPr="001245C9">
        <w:rPr>
          <w:smallCaps/>
          <w:szCs w:val="20"/>
        </w:rPr>
        <w:t>Tipton Daily Trib</w:t>
      </w:r>
      <w:r>
        <w:t xml:space="preserve">., Jul. 22, 1944, </w:t>
      </w:r>
      <w:r>
        <w:rPr>
          <w:i/>
        </w:rPr>
        <w:t>microfilm scan available</w:t>
      </w:r>
      <w:r w:rsidRPr="007A5F1C">
        <w:rPr>
          <w:i/>
        </w:rPr>
        <w:t xml:space="preserve"> at</w:t>
      </w:r>
      <w:r>
        <w:t xml:space="preserve"> </w:t>
      </w:r>
      <w:r w:rsidRPr="007A5F1C">
        <w:t>https://goo.gl/O3zV3T</w:t>
      </w:r>
      <w:r>
        <w:t xml:space="preserve">; </w:t>
      </w:r>
      <w:r>
        <w:rPr>
          <w:i/>
        </w:rPr>
        <w:t>2,000 Prisoners of War Will Camp Near Windfall</w:t>
      </w:r>
      <w:r>
        <w:t xml:space="preserve">, </w:t>
      </w:r>
      <w:r w:rsidRPr="001245C9">
        <w:rPr>
          <w:smallCaps/>
          <w:szCs w:val="20"/>
        </w:rPr>
        <w:t>Tipton Daily Trib</w:t>
      </w:r>
      <w:r>
        <w:t xml:space="preserve">., Jul. 27, 1944, </w:t>
      </w:r>
      <w:r>
        <w:rPr>
          <w:i/>
        </w:rPr>
        <w:t>microfilm scan available</w:t>
      </w:r>
      <w:r w:rsidRPr="007A5F1C">
        <w:rPr>
          <w:i/>
        </w:rPr>
        <w:t xml:space="preserve"> at</w:t>
      </w:r>
      <w:r>
        <w:t xml:space="preserve"> </w:t>
      </w:r>
      <w:r w:rsidRPr="007A5F1C">
        <w:t>https://goo.gl/O3zV3T</w:t>
      </w:r>
      <w:r>
        <w:t>.</w:t>
      </w:r>
    </w:p>
  </w:footnote>
  <w:footnote w:id="4">
    <w:p w14:paraId="63DE1C04" w14:textId="1AA9F146" w:rsidR="009E62A3" w:rsidRDefault="009E62A3" w:rsidP="00B113CF">
      <w:pPr>
        <w:pStyle w:val="FootnoteText"/>
        <w:ind w:left="360" w:right="360"/>
        <w:jc w:val="both"/>
      </w:pPr>
      <w:r>
        <w:rPr>
          <w:rStyle w:val="FootnoteReference"/>
        </w:rPr>
        <w:footnoteRef/>
      </w:r>
      <w:r>
        <w:t xml:space="preserve"> </w:t>
      </w:r>
      <w:r w:rsidRPr="001245C9">
        <w:rPr>
          <w:i/>
        </w:rPr>
        <w:t>War Prisoners Expected to Arrive Within Few Days</w:t>
      </w:r>
      <w:r>
        <w:t xml:space="preserve">, </w:t>
      </w:r>
      <w:r w:rsidRPr="001245C9">
        <w:rPr>
          <w:smallCaps/>
          <w:szCs w:val="20"/>
        </w:rPr>
        <w:t>Tipton Daily Trib</w:t>
      </w:r>
      <w:r>
        <w:t xml:space="preserve">., Aug. 21, 1944, </w:t>
      </w:r>
      <w:r>
        <w:rPr>
          <w:i/>
        </w:rPr>
        <w:t>microfilm scan available</w:t>
      </w:r>
      <w:r w:rsidRPr="007A5F1C">
        <w:rPr>
          <w:i/>
        </w:rPr>
        <w:t xml:space="preserve"> at </w:t>
      </w:r>
      <w:r w:rsidRPr="007A5F1C">
        <w:t>https://goo.gl/Vui6Wc</w:t>
      </w:r>
      <w:r>
        <w:t xml:space="preserve">; </w:t>
      </w:r>
      <w:r>
        <w:rPr>
          <w:i/>
        </w:rPr>
        <w:t>War Prisoner</w:t>
      </w:r>
      <w:r w:rsidRPr="001245C9">
        <w:rPr>
          <w:i/>
        </w:rPr>
        <w:t xml:space="preserve"> </w:t>
      </w:r>
      <w:r>
        <w:rPr>
          <w:i/>
        </w:rPr>
        <w:t>Camp Guards Arrive</w:t>
      </w:r>
      <w:r>
        <w:t xml:space="preserve">, </w:t>
      </w:r>
      <w:r w:rsidRPr="001245C9">
        <w:rPr>
          <w:smallCaps/>
          <w:szCs w:val="20"/>
        </w:rPr>
        <w:t>Tipton Daily Trib</w:t>
      </w:r>
      <w:r>
        <w:t xml:space="preserve">., Aug. 23, 1944, </w:t>
      </w:r>
      <w:r>
        <w:rPr>
          <w:i/>
        </w:rPr>
        <w:t>microfilm scan available</w:t>
      </w:r>
      <w:r w:rsidRPr="007A5F1C">
        <w:rPr>
          <w:i/>
        </w:rPr>
        <w:t xml:space="preserve"> at </w:t>
      </w:r>
      <w:r w:rsidRPr="007A5F1C">
        <w:t>https://goo.gl/Vui6Wc</w:t>
      </w:r>
      <w:r>
        <w:t>.</w:t>
      </w:r>
    </w:p>
  </w:footnote>
  <w:footnote w:id="5">
    <w:p w14:paraId="4B829C90" w14:textId="44D5A42F" w:rsidR="009E62A3" w:rsidRDefault="009E62A3" w:rsidP="00B113CF">
      <w:pPr>
        <w:pStyle w:val="FootnoteText"/>
        <w:ind w:left="360" w:right="360"/>
        <w:jc w:val="both"/>
      </w:pPr>
      <w:r>
        <w:rPr>
          <w:rStyle w:val="FootnoteReference"/>
        </w:rPr>
        <w:footnoteRef/>
      </w:r>
      <w:r>
        <w:t xml:space="preserve"> </w:t>
      </w:r>
      <w:r w:rsidRPr="001245C9">
        <w:rPr>
          <w:i/>
        </w:rPr>
        <w:t xml:space="preserve">War Prisoners </w:t>
      </w:r>
      <w:r>
        <w:rPr>
          <w:i/>
        </w:rPr>
        <w:t>Arrive</w:t>
      </w:r>
      <w:r>
        <w:t>,</w:t>
      </w:r>
      <w:r>
        <w:rPr>
          <w:i/>
        </w:rPr>
        <w:t xml:space="preserve"> </w:t>
      </w:r>
      <w:r w:rsidRPr="008C242A">
        <w:rPr>
          <w:i/>
          <w:iCs/>
          <w:szCs w:val="20"/>
        </w:rPr>
        <w:t>supra </w:t>
      </w:r>
      <w:r>
        <w:rPr>
          <w:szCs w:val="20"/>
        </w:rPr>
        <w:t>note 1.</w:t>
      </w:r>
    </w:p>
  </w:footnote>
  <w:footnote w:id="6">
    <w:p w14:paraId="0935098E" w14:textId="3B2568D3" w:rsidR="009E62A3" w:rsidRDefault="009E62A3" w:rsidP="00B113CF">
      <w:pPr>
        <w:pStyle w:val="FootnoteText"/>
        <w:ind w:left="360" w:right="360"/>
        <w:jc w:val="both"/>
      </w:pPr>
      <w:r>
        <w:rPr>
          <w:rStyle w:val="FootnoteReference"/>
        </w:rPr>
        <w:footnoteRef/>
      </w:r>
      <w:r>
        <w:t xml:space="preserve"> </w:t>
      </w:r>
      <w:r w:rsidRPr="006322EF">
        <w:rPr>
          <w:smallCaps/>
          <w:szCs w:val="20"/>
        </w:rPr>
        <w:t>Robert C. Doyle, The Enemy in Our Hands: America’s Treatment of Enemy Prisoners of War from the Revolution to the War on Terror</w:t>
      </w:r>
      <w:r w:rsidRPr="005340C0">
        <w:rPr>
          <w:szCs w:val="20"/>
        </w:rPr>
        <w:t xml:space="preserve"> 179 (2010).</w:t>
      </w:r>
    </w:p>
  </w:footnote>
  <w:footnote w:id="7">
    <w:p w14:paraId="45B95DCA" w14:textId="0BEBF705"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7B01C7">
        <w:rPr>
          <w:i/>
          <w:szCs w:val="20"/>
        </w:rPr>
        <w:t>Id</w:t>
      </w:r>
      <w:r>
        <w:rPr>
          <w:szCs w:val="20"/>
        </w:rPr>
        <w:t>.</w:t>
      </w:r>
    </w:p>
  </w:footnote>
  <w:footnote w:id="8">
    <w:p w14:paraId="1D0E984F" w14:textId="4BDBA7E2" w:rsidR="009E62A3" w:rsidRDefault="009E62A3" w:rsidP="00B113CF">
      <w:pPr>
        <w:pStyle w:val="FootnoteText"/>
        <w:ind w:left="360" w:right="360"/>
        <w:jc w:val="both"/>
      </w:pPr>
      <w:r>
        <w:rPr>
          <w:rStyle w:val="FootnoteReference"/>
        </w:rPr>
        <w:footnoteRef/>
      </w:r>
      <w:r>
        <w:t xml:space="preserve"> </w:t>
      </w:r>
      <w:r>
        <w:rPr>
          <w:szCs w:val="20"/>
        </w:rPr>
        <w:t xml:space="preserve">May E. Arbuckle, </w:t>
      </w:r>
      <w:r w:rsidRPr="00020451">
        <w:rPr>
          <w:i/>
          <w:szCs w:val="20"/>
        </w:rPr>
        <w:t>Camp Atterbury</w:t>
      </w:r>
      <w:r>
        <w:rPr>
          <w:szCs w:val="20"/>
        </w:rPr>
        <w:t xml:space="preserve">, </w:t>
      </w:r>
      <w:r w:rsidRPr="00020451">
        <w:rPr>
          <w:i/>
          <w:szCs w:val="20"/>
        </w:rPr>
        <w:t>in</w:t>
      </w:r>
      <w:r>
        <w:rPr>
          <w:szCs w:val="20"/>
        </w:rPr>
        <w:t xml:space="preserve"> </w:t>
      </w:r>
      <w:r w:rsidRPr="00020451">
        <w:rPr>
          <w:smallCaps/>
          <w:szCs w:val="20"/>
        </w:rPr>
        <w:t>The Hoosier Training Ground</w:t>
      </w:r>
      <w:r>
        <w:rPr>
          <w:szCs w:val="20"/>
        </w:rPr>
        <w:t xml:space="preserve"> 6, 41 (Dorothy Riker ed., 1952).</w:t>
      </w:r>
    </w:p>
  </w:footnote>
  <w:footnote w:id="9">
    <w:p w14:paraId="15C50D4B" w14:textId="4A81DCF2"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Claude Cook, </w:t>
      </w:r>
      <w:r w:rsidRPr="007B01C7">
        <w:rPr>
          <w:szCs w:val="20"/>
        </w:rPr>
        <w:t>The German Prisoner of War Camp at Austin, Indiana and Its Connection With Campbellsburg, Indiana During World War II</w:t>
      </w:r>
      <w:r>
        <w:rPr>
          <w:szCs w:val="20"/>
        </w:rPr>
        <w:t xml:space="preserve">, at *2 </w:t>
      </w:r>
      <w:r w:rsidRPr="005340C0">
        <w:rPr>
          <w:szCs w:val="20"/>
        </w:rPr>
        <w:t>(1998)</w:t>
      </w:r>
      <w:r>
        <w:rPr>
          <w:szCs w:val="20"/>
        </w:rPr>
        <w:t xml:space="preserve"> (unpublished manuscript), </w:t>
      </w:r>
      <w:r w:rsidRPr="00E8576F">
        <w:rPr>
          <w:szCs w:val="20"/>
        </w:rPr>
        <w:t>http://goo.gl/73Oxxv</w:t>
      </w:r>
      <w:r>
        <w:rPr>
          <w:szCs w:val="20"/>
        </w:rPr>
        <w:t xml:space="preserve"> </w:t>
      </w:r>
      <w:r w:rsidRPr="008D554C">
        <w:rPr>
          <w:szCs w:val="20"/>
        </w:rPr>
        <w:t>(</w:t>
      </w:r>
      <w:r w:rsidRPr="00687675">
        <w:rPr>
          <w:szCs w:val="20"/>
        </w:rPr>
        <w:t>follow “</w:t>
      </w:r>
      <w:r>
        <w:rPr>
          <w:szCs w:val="20"/>
        </w:rPr>
        <w:t>Branch Camps</w:t>
      </w:r>
      <w:r w:rsidRPr="00687675">
        <w:rPr>
          <w:szCs w:val="20"/>
        </w:rPr>
        <w:t>” link, then “</w:t>
      </w:r>
      <w:r>
        <w:rPr>
          <w:szCs w:val="20"/>
        </w:rPr>
        <w:t>Austin</w:t>
      </w:r>
      <w:r w:rsidRPr="00687675">
        <w:rPr>
          <w:szCs w:val="20"/>
        </w:rPr>
        <w:t>”</w:t>
      </w:r>
      <w:r w:rsidRPr="008D554C">
        <w:rPr>
          <w:szCs w:val="20"/>
        </w:rPr>
        <w:t>)</w:t>
      </w:r>
      <w:r>
        <w:rPr>
          <w:szCs w:val="20"/>
        </w:rPr>
        <w:t>.</w:t>
      </w:r>
    </w:p>
  </w:footnote>
  <w:footnote w:id="10">
    <w:p w14:paraId="763D52D3" w14:textId="044BCE40" w:rsidR="009E62A3" w:rsidRDefault="009E62A3" w:rsidP="00B113CF">
      <w:pPr>
        <w:pStyle w:val="FootnoteText"/>
        <w:ind w:left="360" w:right="360"/>
        <w:jc w:val="both"/>
      </w:pPr>
      <w:r>
        <w:rPr>
          <w:rStyle w:val="FootnoteReference"/>
        </w:rPr>
        <w:footnoteRef/>
      </w:r>
      <w:r>
        <w:t xml:space="preserve"> </w:t>
      </w:r>
      <w:r>
        <w:rPr>
          <w:szCs w:val="20"/>
        </w:rPr>
        <w:t xml:space="preserve">Lynn Turner, </w:t>
      </w:r>
      <w:r w:rsidRPr="00B2764A">
        <w:rPr>
          <w:i/>
          <w:szCs w:val="20"/>
        </w:rPr>
        <w:t>Indiana’s Mobilization for War</w:t>
      </w:r>
      <w:r>
        <w:rPr>
          <w:szCs w:val="20"/>
        </w:rPr>
        <w:t xml:space="preserve">, </w:t>
      </w:r>
      <w:r w:rsidRPr="00B2764A">
        <w:rPr>
          <w:i/>
          <w:szCs w:val="20"/>
        </w:rPr>
        <w:t>in</w:t>
      </w:r>
      <w:r>
        <w:rPr>
          <w:szCs w:val="20"/>
        </w:rPr>
        <w:t xml:space="preserve"> </w:t>
      </w:r>
      <w:r w:rsidRPr="00EC3752">
        <w:rPr>
          <w:smallCaps/>
          <w:szCs w:val="20"/>
        </w:rPr>
        <w:t>Indiana History: A Book of Readings</w:t>
      </w:r>
      <w:r>
        <w:rPr>
          <w:szCs w:val="20"/>
        </w:rPr>
        <w:t xml:space="preserve"> 352 (Ralph D. Gray, ed., 1994).</w:t>
      </w:r>
    </w:p>
  </w:footnote>
  <w:footnote w:id="11">
    <w:p w14:paraId="3A0332E7" w14:textId="537E52E9" w:rsidR="009E62A3" w:rsidRDefault="009E62A3" w:rsidP="00C7536A">
      <w:pPr>
        <w:pStyle w:val="FootnoteText"/>
        <w:ind w:left="360"/>
        <w:jc w:val="both"/>
      </w:pPr>
      <w:r>
        <w:rPr>
          <w:rStyle w:val="FootnoteReference"/>
        </w:rPr>
        <w:footnoteRef/>
      </w:r>
      <w:r>
        <w:t xml:space="preserve"> </w:t>
      </w:r>
      <w:r w:rsidRPr="007B01C7">
        <w:rPr>
          <w:i/>
          <w:szCs w:val="20"/>
        </w:rPr>
        <w:t>Id</w:t>
      </w:r>
      <w:r>
        <w:rPr>
          <w:szCs w:val="20"/>
        </w:rPr>
        <w:t>.</w:t>
      </w:r>
    </w:p>
  </w:footnote>
  <w:footnote w:id="12">
    <w:p w14:paraId="44256DB8" w14:textId="55DAF54B" w:rsidR="009E62A3" w:rsidRDefault="009E62A3" w:rsidP="000E4585">
      <w:pPr>
        <w:pStyle w:val="FootnoteText"/>
        <w:ind w:left="360"/>
      </w:pPr>
      <w:r>
        <w:rPr>
          <w:rStyle w:val="FootnoteReference"/>
        </w:rPr>
        <w:footnoteRef/>
      </w:r>
      <w:r>
        <w:t xml:space="preserve"> </w:t>
      </w:r>
      <w:r w:rsidRPr="007B01C7">
        <w:rPr>
          <w:i/>
          <w:szCs w:val="20"/>
        </w:rPr>
        <w:t>Id</w:t>
      </w:r>
      <w:r>
        <w:rPr>
          <w:szCs w:val="20"/>
        </w:rPr>
        <w:t>.</w:t>
      </w:r>
    </w:p>
  </w:footnote>
  <w:footnote w:id="13">
    <w:p w14:paraId="4AE500E4" w14:textId="7BB40220" w:rsidR="009E62A3" w:rsidRPr="005340C0" w:rsidRDefault="009E62A3" w:rsidP="00B113CF">
      <w:pPr>
        <w:pStyle w:val="FootnoteText"/>
        <w:ind w:left="360" w:right="360"/>
        <w:jc w:val="both"/>
        <w:rPr>
          <w:szCs w:val="20"/>
        </w:rPr>
      </w:pPr>
      <w:r w:rsidRPr="005340C0">
        <w:rPr>
          <w:rStyle w:val="FootnoteReference"/>
          <w:szCs w:val="20"/>
        </w:rPr>
        <w:footnoteRef/>
      </w:r>
      <w:r>
        <w:rPr>
          <w:szCs w:val="20"/>
        </w:rPr>
        <w:t xml:space="preserve"> </w:t>
      </w:r>
      <w:r w:rsidRPr="007B01C7">
        <w:rPr>
          <w:i/>
          <w:szCs w:val="20"/>
        </w:rPr>
        <w:t>Id</w:t>
      </w:r>
      <w:r>
        <w:rPr>
          <w:szCs w:val="20"/>
        </w:rPr>
        <w:t>. at 352, 353; Lynn W. Turner</w:t>
      </w:r>
      <w:r w:rsidRPr="008C242A">
        <w:rPr>
          <w:szCs w:val="20"/>
        </w:rPr>
        <w:t>, </w:t>
      </w:r>
      <w:r>
        <w:rPr>
          <w:i/>
          <w:iCs/>
          <w:szCs w:val="20"/>
        </w:rPr>
        <w:t>The Hoosier Training Ground</w:t>
      </w:r>
      <w:r w:rsidRPr="008C242A">
        <w:rPr>
          <w:szCs w:val="20"/>
        </w:rPr>
        <w:t>,</w:t>
      </w:r>
      <w:r>
        <w:rPr>
          <w:szCs w:val="20"/>
        </w:rPr>
        <w:t xml:space="preserve"> </w:t>
      </w:r>
      <w:r w:rsidRPr="008C242A">
        <w:rPr>
          <w:i/>
          <w:iCs/>
          <w:szCs w:val="20"/>
        </w:rPr>
        <w:t>in</w:t>
      </w:r>
      <w:r w:rsidRPr="008C242A">
        <w:rPr>
          <w:szCs w:val="20"/>
        </w:rPr>
        <w:t> </w:t>
      </w:r>
      <w:r w:rsidRPr="008C242A">
        <w:rPr>
          <w:smallCaps/>
          <w:szCs w:val="20"/>
        </w:rPr>
        <w:t>The Hoosier Training Ground</w:t>
      </w:r>
      <w:r w:rsidRPr="008C242A">
        <w:rPr>
          <w:szCs w:val="20"/>
        </w:rPr>
        <w:t>, </w:t>
      </w:r>
      <w:r w:rsidRPr="008C242A">
        <w:rPr>
          <w:i/>
          <w:iCs/>
          <w:szCs w:val="20"/>
        </w:rPr>
        <w:t>supra </w:t>
      </w:r>
      <w:r>
        <w:rPr>
          <w:szCs w:val="20"/>
        </w:rPr>
        <w:t>note 7, at 1, 3.</w:t>
      </w:r>
    </w:p>
  </w:footnote>
  <w:footnote w:id="14">
    <w:p w14:paraId="4CB7107E" w14:textId="77777777"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Karin Carmer, </w:t>
      </w:r>
      <w:r w:rsidRPr="005340C0">
        <w:rPr>
          <w:i/>
          <w:szCs w:val="20"/>
        </w:rPr>
        <w:t>Enemy in the (Tomato) Fields</w:t>
      </w:r>
      <w:r w:rsidRPr="005340C0">
        <w:rPr>
          <w:szCs w:val="20"/>
        </w:rPr>
        <w:t xml:space="preserve">, 3 </w:t>
      </w:r>
      <w:r w:rsidRPr="00A60E7F">
        <w:rPr>
          <w:smallCaps/>
          <w:szCs w:val="20"/>
        </w:rPr>
        <w:t>Madison County Monthly</w:t>
      </w:r>
      <w:r w:rsidRPr="005340C0">
        <w:rPr>
          <w:szCs w:val="20"/>
        </w:rPr>
        <w:t>, no. 2, Oct. 1992, at 1, 3.</w:t>
      </w:r>
    </w:p>
  </w:footnote>
  <w:footnote w:id="15">
    <w:p w14:paraId="201AAF72" w14:textId="66A0075D"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A60E7F">
        <w:rPr>
          <w:smallCaps/>
          <w:szCs w:val="20"/>
        </w:rPr>
        <w:t>Michael D. Mullins, Out of the Mist: Memories of War</w:t>
      </w:r>
      <w:r w:rsidRPr="005340C0">
        <w:rPr>
          <w:szCs w:val="20"/>
        </w:rPr>
        <w:t xml:space="preserve"> </w:t>
      </w:r>
      <w:r w:rsidRPr="00A60E7F">
        <w:rPr>
          <w:szCs w:val="20"/>
        </w:rPr>
        <w:t>120-21</w:t>
      </w:r>
      <w:r w:rsidRPr="005340C0">
        <w:rPr>
          <w:szCs w:val="20"/>
        </w:rPr>
        <w:t xml:space="preserve"> (2011).</w:t>
      </w:r>
    </w:p>
  </w:footnote>
  <w:footnote w:id="16">
    <w:p w14:paraId="21E3C430" w14:textId="36006A7C"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5340C0">
        <w:rPr>
          <w:i/>
          <w:szCs w:val="20"/>
        </w:rPr>
        <w:t>Memory of POW Camp Lingers</w:t>
      </w:r>
      <w:r w:rsidRPr="005340C0">
        <w:rPr>
          <w:szCs w:val="20"/>
        </w:rPr>
        <w:t xml:space="preserve">, </w:t>
      </w:r>
      <w:r w:rsidRPr="00A60E7F">
        <w:rPr>
          <w:smallCaps/>
          <w:szCs w:val="20"/>
        </w:rPr>
        <w:t>Tipton Trib.</w:t>
      </w:r>
      <w:r>
        <w:rPr>
          <w:szCs w:val="20"/>
        </w:rPr>
        <w:t xml:space="preserve">, Feb. 29, 1983, </w:t>
      </w:r>
      <w:r w:rsidRPr="00477EAD">
        <w:rPr>
          <w:i/>
          <w:szCs w:val="20"/>
        </w:rPr>
        <w:t>digitized at</w:t>
      </w:r>
      <w:r>
        <w:rPr>
          <w:szCs w:val="20"/>
        </w:rPr>
        <w:t xml:space="preserve"> </w:t>
      </w:r>
      <w:r w:rsidRPr="00477EAD">
        <w:rPr>
          <w:szCs w:val="20"/>
        </w:rPr>
        <w:t>https://goo.gl/A96H2u</w:t>
      </w:r>
      <w:r>
        <w:rPr>
          <w:szCs w:val="20"/>
        </w:rPr>
        <w:t>.</w:t>
      </w:r>
    </w:p>
  </w:footnote>
  <w:footnote w:id="17">
    <w:p w14:paraId="6551C01A" w14:textId="63D05E64"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A60E7F">
        <w:rPr>
          <w:i/>
          <w:szCs w:val="20"/>
        </w:rPr>
        <w:t>Alien War Dead Lie in Indiana</w:t>
      </w:r>
      <w:r w:rsidRPr="005340C0">
        <w:rPr>
          <w:szCs w:val="20"/>
        </w:rPr>
        <w:t xml:space="preserve">, </w:t>
      </w:r>
      <w:r w:rsidRPr="00A60E7F">
        <w:rPr>
          <w:smallCaps/>
          <w:szCs w:val="20"/>
        </w:rPr>
        <w:t>Indpls Times</w:t>
      </w:r>
      <w:r w:rsidRPr="005340C0">
        <w:rPr>
          <w:szCs w:val="20"/>
        </w:rPr>
        <w:t>, Dec. 2, 1962, at 2.</w:t>
      </w:r>
    </w:p>
  </w:footnote>
  <w:footnote w:id="18">
    <w:p w14:paraId="190633B2" w14:textId="063566D7" w:rsidR="009E62A3" w:rsidRDefault="009E62A3" w:rsidP="00B113CF">
      <w:pPr>
        <w:pStyle w:val="FootnoteText"/>
        <w:ind w:left="360" w:right="360"/>
        <w:jc w:val="both"/>
      </w:pPr>
      <w:r>
        <w:rPr>
          <w:rStyle w:val="FootnoteReference"/>
        </w:rPr>
        <w:footnoteRef/>
      </w:r>
      <w:r>
        <w:t xml:space="preserve"> </w:t>
      </w:r>
      <w:r w:rsidRPr="00A60E7F">
        <w:t>Geneva Convention Relative to the Treatment of Prisoners of War, July 27, 1929, 47 Stat. 2021, T.S. No. 846</w:t>
      </w:r>
      <w:r>
        <w:t xml:space="preserve"> [hereinafter 1929 Geneva Convention I]</w:t>
      </w:r>
      <w:r w:rsidRPr="00A60E7F">
        <w:t>.</w:t>
      </w:r>
      <w:r>
        <w:t xml:space="preserve"> This document accompanied the </w:t>
      </w:r>
      <w:r w:rsidRPr="0085083A">
        <w:rPr>
          <w:szCs w:val="20"/>
        </w:rPr>
        <w:t>Geneva Convention for the Amelioration of the Condition of the Wounded and Sick in Armies in the Field, July 27, 1929, 47 Stat. 2074, T.S. No. 847</w:t>
      </w:r>
      <w:r>
        <w:rPr>
          <w:szCs w:val="20"/>
        </w:rPr>
        <w:t xml:space="preserve"> </w:t>
      </w:r>
      <w:r>
        <w:t>[hereinafter 1929 Geneva Convention II]</w:t>
      </w:r>
      <w:r w:rsidRPr="00A60E7F">
        <w:t>.</w:t>
      </w:r>
      <w:r>
        <w:t xml:space="preserve"> </w:t>
      </w:r>
      <w:r>
        <w:rPr>
          <w:szCs w:val="20"/>
        </w:rPr>
        <w:t xml:space="preserve">Collectively, they are known as the 1929 Geneva Conventions (plural). The universal adoption of the 1949 Geneva Conventions (of which there are four distinct documents) rendered the 1929 Geneva Conventions inoperative; </w:t>
      </w:r>
      <w:r w:rsidRPr="00053E58">
        <w:rPr>
          <w:i/>
          <w:szCs w:val="20"/>
        </w:rPr>
        <w:t>see infra</w:t>
      </w:r>
      <w:r>
        <w:rPr>
          <w:szCs w:val="20"/>
        </w:rPr>
        <w:t>, note</w:t>
      </w:r>
      <w:r w:rsidR="00B91E24">
        <w:rPr>
          <w:szCs w:val="20"/>
        </w:rPr>
        <w:t>s 196-98, 203.</w:t>
      </w:r>
      <w:r>
        <w:rPr>
          <w:szCs w:val="20"/>
        </w:rPr>
        <w:t xml:space="preserve"> </w:t>
      </w:r>
    </w:p>
  </w:footnote>
  <w:footnote w:id="19">
    <w:p w14:paraId="013E18C5" w14:textId="53A77C05" w:rsidR="009E62A3" w:rsidRDefault="009E62A3" w:rsidP="00B113CF">
      <w:pPr>
        <w:pStyle w:val="FootnoteText"/>
        <w:ind w:left="360" w:right="360"/>
        <w:jc w:val="both"/>
      </w:pPr>
      <w:r>
        <w:rPr>
          <w:rStyle w:val="FootnoteReference"/>
        </w:rPr>
        <w:footnoteRef/>
      </w:r>
      <w:r>
        <w:t xml:space="preserve"> 1929 Geneva Convention I, </w:t>
      </w:r>
      <w:r w:rsidRPr="00BB4910">
        <w:rPr>
          <w:i/>
          <w:iCs/>
          <w:szCs w:val="20"/>
        </w:rPr>
        <w:t>supra</w:t>
      </w:r>
      <w:r w:rsidRPr="00BB4910">
        <w:rPr>
          <w:szCs w:val="20"/>
        </w:rPr>
        <w:t> </w:t>
      </w:r>
      <w:r>
        <w:rPr>
          <w:szCs w:val="20"/>
        </w:rPr>
        <w:t>note 17</w:t>
      </w:r>
      <w:r w:rsidRPr="00BB4910">
        <w:rPr>
          <w:szCs w:val="20"/>
        </w:rPr>
        <w:t>, at</w:t>
      </w:r>
      <w:r>
        <w:t xml:space="preserve"> pmbl.</w:t>
      </w:r>
    </w:p>
  </w:footnote>
  <w:footnote w:id="20">
    <w:p w14:paraId="24F5A246" w14:textId="684CBF9D" w:rsidR="009E62A3" w:rsidRDefault="009E62A3" w:rsidP="00B113CF">
      <w:pPr>
        <w:pStyle w:val="FootnoteText"/>
        <w:ind w:left="360" w:right="360"/>
        <w:jc w:val="both"/>
      </w:pPr>
      <w:r>
        <w:rPr>
          <w:rStyle w:val="FootnoteReference"/>
        </w:rPr>
        <w:footnoteRef/>
      </w:r>
      <w:r>
        <w:t xml:space="preserve"> </w:t>
      </w:r>
      <w:r>
        <w:rPr>
          <w:smallCaps/>
          <w:szCs w:val="20"/>
        </w:rPr>
        <w:t xml:space="preserve">Doyle, </w:t>
      </w:r>
      <w:r w:rsidRPr="00BB4910">
        <w:rPr>
          <w:i/>
          <w:iCs/>
          <w:szCs w:val="20"/>
        </w:rPr>
        <w:t>supra</w:t>
      </w:r>
      <w:r w:rsidRPr="00BB4910">
        <w:rPr>
          <w:szCs w:val="20"/>
        </w:rPr>
        <w:t> </w:t>
      </w:r>
      <w:r>
        <w:rPr>
          <w:szCs w:val="20"/>
        </w:rPr>
        <w:t>note 5, at 181.</w:t>
      </w:r>
    </w:p>
  </w:footnote>
  <w:footnote w:id="21">
    <w:p w14:paraId="3C4FADF0" w14:textId="74187556" w:rsidR="009E62A3" w:rsidRDefault="009E62A3" w:rsidP="00CB5BB4">
      <w:pPr>
        <w:pStyle w:val="FootnoteText"/>
        <w:ind w:left="360"/>
        <w:jc w:val="both"/>
      </w:pPr>
      <w:r>
        <w:rPr>
          <w:rStyle w:val="FootnoteReference"/>
        </w:rPr>
        <w:footnoteRef/>
      </w:r>
      <w:r>
        <w:t xml:space="preserve"> S.P. MacKenzie, </w:t>
      </w:r>
      <w:r w:rsidRPr="00CB5BB4">
        <w:rPr>
          <w:i/>
        </w:rPr>
        <w:t>The Treatment of Prisoners of War in World War II</w:t>
      </w:r>
      <w:r>
        <w:t xml:space="preserve">, 66 </w:t>
      </w:r>
      <w:r w:rsidRPr="00CB5BB4">
        <w:rPr>
          <w:smallCaps/>
          <w:szCs w:val="20"/>
        </w:rPr>
        <w:t>J. Mod. Hist.</w:t>
      </w:r>
      <w:r>
        <w:t xml:space="preserve"> 487, 490 (1994) (“</w:t>
      </w:r>
      <w:r>
        <w:rPr>
          <w:bCs/>
        </w:rPr>
        <w:t>The humanitarian ethos—b</w:t>
      </w:r>
      <w:r w:rsidRPr="00CB5BB4">
        <w:rPr>
          <w:bCs/>
        </w:rPr>
        <w:t>roadly conceived to mean that the captured enemy soldier was regarded as possessing the same essentially</w:t>
      </w:r>
      <w:r>
        <w:rPr>
          <w:bCs/>
        </w:rPr>
        <w:t xml:space="preserve"> human nature as his captor—was</w:t>
      </w:r>
      <w:r w:rsidRPr="00CB5BB4">
        <w:rPr>
          <w:bCs/>
        </w:rPr>
        <w:t xml:space="preserve"> almost always a prerequisite for good treatment.”).</w:t>
      </w:r>
    </w:p>
  </w:footnote>
  <w:footnote w:id="22">
    <w:p w14:paraId="03B10092" w14:textId="20654D0A" w:rsidR="009E62A3" w:rsidRDefault="009E62A3" w:rsidP="00B113CF">
      <w:pPr>
        <w:pStyle w:val="FootnoteText"/>
        <w:ind w:left="360" w:right="360"/>
        <w:jc w:val="both"/>
      </w:pPr>
      <w:r>
        <w:rPr>
          <w:rStyle w:val="FootnoteReference"/>
        </w:rPr>
        <w:footnoteRef/>
      </w:r>
      <w:r>
        <w:t xml:space="preserve"> </w:t>
      </w:r>
      <w:r>
        <w:rPr>
          <w:smallCaps/>
          <w:szCs w:val="20"/>
        </w:rPr>
        <w:t xml:space="preserve">Doyle, </w:t>
      </w:r>
      <w:r w:rsidRPr="00BB4910">
        <w:rPr>
          <w:i/>
          <w:iCs/>
          <w:szCs w:val="20"/>
        </w:rPr>
        <w:t>supra</w:t>
      </w:r>
      <w:r w:rsidRPr="00BB4910">
        <w:rPr>
          <w:szCs w:val="20"/>
        </w:rPr>
        <w:t> </w:t>
      </w:r>
      <w:r>
        <w:rPr>
          <w:szCs w:val="20"/>
        </w:rPr>
        <w:t>note 5, at 184</w:t>
      </w:r>
      <w:r w:rsidRPr="005340C0">
        <w:rPr>
          <w:szCs w:val="20"/>
        </w:rPr>
        <w:t>.</w:t>
      </w:r>
    </w:p>
  </w:footnote>
  <w:footnote w:id="23">
    <w:p w14:paraId="623EAE21" w14:textId="0216D9EB" w:rsidR="009E62A3" w:rsidRDefault="009E62A3" w:rsidP="000E4585">
      <w:pPr>
        <w:pStyle w:val="FootnoteText"/>
        <w:ind w:left="360"/>
      </w:pPr>
      <w:r>
        <w:rPr>
          <w:rStyle w:val="FootnoteReference"/>
        </w:rPr>
        <w:footnoteRef/>
      </w:r>
      <w:r>
        <w:t xml:space="preserve"> MacKenzie, </w:t>
      </w:r>
      <w:r w:rsidRPr="00BB4910">
        <w:rPr>
          <w:i/>
          <w:iCs/>
          <w:szCs w:val="20"/>
        </w:rPr>
        <w:t>supra</w:t>
      </w:r>
      <w:r w:rsidRPr="00BB4910">
        <w:rPr>
          <w:szCs w:val="20"/>
        </w:rPr>
        <w:t> </w:t>
      </w:r>
      <w:r>
        <w:rPr>
          <w:szCs w:val="20"/>
        </w:rPr>
        <w:t xml:space="preserve">note 20, at 490 n.10; </w:t>
      </w:r>
      <w:r>
        <w:rPr>
          <w:smallCaps/>
          <w:szCs w:val="20"/>
        </w:rPr>
        <w:t xml:space="preserve">Doyle, </w:t>
      </w:r>
      <w:r w:rsidRPr="00BB4910">
        <w:rPr>
          <w:i/>
          <w:iCs/>
          <w:szCs w:val="20"/>
        </w:rPr>
        <w:t>supra</w:t>
      </w:r>
      <w:r w:rsidRPr="00BB4910">
        <w:rPr>
          <w:szCs w:val="20"/>
        </w:rPr>
        <w:t> </w:t>
      </w:r>
      <w:r>
        <w:rPr>
          <w:szCs w:val="20"/>
        </w:rPr>
        <w:t>note 5, at 182, 184.</w:t>
      </w:r>
    </w:p>
  </w:footnote>
  <w:footnote w:id="24">
    <w:p w14:paraId="39E7F109" w14:textId="7515F23B"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smallCaps/>
          <w:szCs w:val="20"/>
        </w:rPr>
        <w:t xml:space="preserve">Doyle, </w:t>
      </w:r>
      <w:r w:rsidRPr="00BB4910">
        <w:rPr>
          <w:i/>
          <w:iCs/>
          <w:szCs w:val="20"/>
        </w:rPr>
        <w:t>supra</w:t>
      </w:r>
      <w:r w:rsidRPr="00BB4910">
        <w:rPr>
          <w:szCs w:val="20"/>
        </w:rPr>
        <w:t> </w:t>
      </w:r>
      <w:r>
        <w:rPr>
          <w:szCs w:val="20"/>
        </w:rPr>
        <w:t>note 5, at 184.</w:t>
      </w:r>
    </w:p>
  </w:footnote>
  <w:footnote w:id="25">
    <w:p w14:paraId="6F084099" w14:textId="193387F4"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EC762C">
        <w:rPr>
          <w:smallCaps/>
          <w:szCs w:val="20"/>
        </w:rPr>
        <w:t>Arnold Krammer, Nazi Prisoners of War in America</w:t>
      </w:r>
      <w:r w:rsidRPr="005340C0">
        <w:rPr>
          <w:szCs w:val="20"/>
        </w:rPr>
        <w:t xml:space="preserve"> 190</w:t>
      </w:r>
      <w:r>
        <w:rPr>
          <w:szCs w:val="20"/>
        </w:rPr>
        <w:t xml:space="preserve"> (1996)</w:t>
      </w:r>
      <w:r w:rsidRPr="005340C0">
        <w:rPr>
          <w:szCs w:val="20"/>
        </w:rPr>
        <w:t>.</w:t>
      </w:r>
    </w:p>
  </w:footnote>
  <w:footnote w:id="26">
    <w:p w14:paraId="4672D371" w14:textId="0FA7BD15" w:rsidR="009E62A3" w:rsidRDefault="009E62A3" w:rsidP="00F56422">
      <w:pPr>
        <w:pStyle w:val="FootnoteText"/>
        <w:ind w:left="360"/>
      </w:pPr>
      <w:r>
        <w:rPr>
          <w:rStyle w:val="FootnoteReference"/>
        </w:rPr>
        <w:footnoteRef/>
      </w:r>
      <w:r>
        <w:t xml:space="preserve"> </w:t>
      </w:r>
      <w:r w:rsidRPr="00F56422">
        <w:rPr>
          <w:i/>
        </w:rPr>
        <w:t>See infra</w:t>
      </w:r>
      <w:r w:rsidR="00B91E24">
        <w:t xml:space="preserve"> notes 170-79</w:t>
      </w:r>
      <w:r w:rsidRPr="00F56422">
        <w:t xml:space="preserve"> and accompanying text.</w:t>
      </w:r>
    </w:p>
  </w:footnote>
  <w:footnote w:id="27">
    <w:p w14:paraId="2FF1A03A" w14:textId="7EEA3780" w:rsidR="009E62A3" w:rsidRDefault="009E62A3" w:rsidP="00F56422">
      <w:pPr>
        <w:pStyle w:val="FootnoteText"/>
        <w:ind w:left="360"/>
      </w:pPr>
      <w:r>
        <w:rPr>
          <w:rStyle w:val="FootnoteReference"/>
        </w:rPr>
        <w:footnoteRef/>
      </w:r>
      <w:r>
        <w:t xml:space="preserve"> </w:t>
      </w:r>
      <w:r w:rsidRPr="00F56422">
        <w:rPr>
          <w:i/>
        </w:rPr>
        <w:t>See infra</w:t>
      </w:r>
      <w:r>
        <w:t xml:space="preserve"> notes</w:t>
      </w:r>
      <w:r w:rsidR="00B91E24">
        <w:t xml:space="preserve"> </w:t>
      </w:r>
      <w:r w:rsidR="00B91E24">
        <w:t>170-79</w:t>
      </w:r>
      <w:r w:rsidR="00B91E24" w:rsidRPr="00F56422">
        <w:t xml:space="preserve"> </w:t>
      </w:r>
      <w:r w:rsidRPr="00F56422">
        <w:t>and accompanying text.</w:t>
      </w:r>
    </w:p>
  </w:footnote>
  <w:footnote w:id="28">
    <w:p w14:paraId="7EA12406" w14:textId="3AC69911" w:rsidR="009E62A3" w:rsidRDefault="009E62A3" w:rsidP="00B113CF">
      <w:pPr>
        <w:pStyle w:val="FootnoteText"/>
        <w:ind w:left="360" w:right="360"/>
        <w:jc w:val="both"/>
      </w:pPr>
      <w:r>
        <w:rPr>
          <w:rStyle w:val="FootnoteReference"/>
        </w:rPr>
        <w:footnoteRef/>
      </w:r>
      <w:r>
        <w:t xml:space="preserve"> Julie des Jardins, </w:t>
      </w:r>
      <w:r w:rsidRPr="00477EAD">
        <w:rPr>
          <w:i/>
        </w:rPr>
        <w:t>From Citizen to Enemy: The Tragedy of Japanese Internment</w:t>
      </w:r>
      <w:r>
        <w:t xml:space="preserve">, </w:t>
      </w:r>
      <w:r w:rsidRPr="00477EAD">
        <w:rPr>
          <w:smallCaps/>
          <w:szCs w:val="20"/>
        </w:rPr>
        <w:t>Gilder Lehrman Inst. of Am. Hist.</w:t>
      </w:r>
      <w:r>
        <w:t xml:space="preserve">, </w:t>
      </w:r>
      <w:r w:rsidRPr="00477EAD">
        <w:t>http://www.gilderlehrman.org/history-by-era/world-war-ii/essays/from-citizen-enemy-tragedy-japanese-internment</w:t>
      </w:r>
      <w:r>
        <w:t xml:space="preserve"> (last visited Aug. 19, 2015). </w:t>
      </w:r>
      <w:r w:rsidRPr="00F2013E">
        <w:t xml:space="preserve">Despite the clear violation of Fifth Amendment Due Process protections, the U.S. Supreme Court </w:t>
      </w:r>
      <w:r>
        <w:t xml:space="preserve">upheld the government’s actions; </w:t>
      </w:r>
      <w:r w:rsidRPr="00F2013E">
        <w:rPr>
          <w:i/>
        </w:rPr>
        <w:t>s</w:t>
      </w:r>
      <w:r w:rsidRPr="006322EF">
        <w:rPr>
          <w:i/>
        </w:rPr>
        <w:t>ee</w:t>
      </w:r>
      <w:r w:rsidRPr="006322EF">
        <w:t xml:space="preserve"> </w:t>
      </w:r>
      <w:r w:rsidRPr="006322EF">
        <w:rPr>
          <w:i/>
        </w:rPr>
        <w:t>Hirabayashi v. United States</w:t>
      </w:r>
      <w:r w:rsidRPr="006322EF">
        <w:t>,</w:t>
      </w:r>
      <w:r>
        <w:t xml:space="preserve"> 320 U.S. 81 (1943); </w:t>
      </w:r>
      <w:r w:rsidRPr="00F87DCF">
        <w:rPr>
          <w:i/>
        </w:rPr>
        <w:t>and</w:t>
      </w:r>
      <w:r>
        <w:t xml:space="preserve"> </w:t>
      </w:r>
      <w:r w:rsidRPr="006322EF">
        <w:rPr>
          <w:i/>
        </w:rPr>
        <w:t>Korematsu v. United States</w:t>
      </w:r>
      <w:r w:rsidRPr="006322EF">
        <w:t>,</w:t>
      </w:r>
      <w:r>
        <w:t xml:space="preserve"> 323 U.S. 214 (1944).</w:t>
      </w:r>
    </w:p>
  </w:footnote>
  <w:footnote w:id="29">
    <w:p w14:paraId="2E38799D" w14:textId="244D60DD" w:rsidR="009E62A3" w:rsidRPr="00CB51F7" w:rsidRDefault="009E62A3" w:rsidP="00B113CF">
      <w:pPr>
        <w:pStyle w:val="FootnoteText"/>
        <w:ind w:left="360" w:right="360"/>
        <w:jc w:val="both"/>
        <w:rPr>
          <w:szCs w:val="20"/>
        </w:rPr>
      </w:pPr>
      <w:r>
        <w:rPr>
          <w:rStyle w:val="FootnoteReference"/>
        </w:rPr>
        <w:footnoteRef/>
      </w:r>
      <w:r>
        <w:t xml:space="preserve"> </w:t>
      </w:r>
      <w:r>
        <w:rPr>
          <w:smallCaps/>
          <w:szCs w:val="20"/>
        </w:rPr>
        <w:t xml:space="preserve">Doyle, </w:t>
      </w:r>
      <w:r w:rsidRPr="00BB4910">
        <w:rPr>
          <w:i/>
          <w:iCs/>
          <w:szCs w:val="20"/>
        </w:rPr>
        <w:t>supra</w:t>
      </w:r>
      <w:r w:rsidRPr="00BB4910">
        <w:rPr>
          <w:szCs w:val="20"/>
        </w:rPr>
        <w:t> </w:t>
      </w:r>
      <w:r>
        <w:rPr>
          <w:szCs w:val="20"/>
        </w:rPr>
        <w:t>note 5,</w:t>
      </w:r>
      <w:r w:rsidRPr="00BB4910">
        <w:rPr>
          <w:szCs w:val="20"/>
        </w:rPr>
        <w:t xml:space="preserve"> at</w:t>
      </w:r>
      <w:r>
        <w:rPr>
          <w:szCs w:val="20"/>
        </w:rPr>
        <w:t xml:space="preserve"> 215-216; </w:t>
      </w:r>
      <w:r w:rsidRPr="00CB51F7">
        <w:t>Emma Caccamo</w:t>
      </w:r>
      <w:r>
        <w:t>, Foreignness at Home: Enemy Alien Control During World War II, at 6-7(April 2013) (</w:t>
      </w:r>
      <w:r w:rsidRPr="00C900B9">
        <w:rPr>
          <w:szCs w:val="20"/>
        </w:rPr>
        <w:t xml:space="preserve">unpublished </w:t>
      </w:r>
      <w:r>
        <w:rPr>
          <w:szCs w:val="20"/>
        </w:rPr>
        <w:t>thesis</w:t>
      </w:r>
      <w:r w:rsidRPr="00C900B9">
        <w:rPr>
          <w:szCs w:val="20"/>
        </w:rPr>
        <w:t xml:space="preserve">, </w:t>
      </w:r>
      <w:r w:rsidRPr="00CB51F7">
        <w:rPr>
          <w:szCs w:val="20"/>
        </w:rPr>
        <w:t>Wesleyan University</w:t>
      </w:r>
      <w:r w:rsidRPr="00C900B9">
        <w:rPr>
          <w:szCs w:val="20"/>
        </w:rPr>
        <w:t>)</w:t>
      </w:r>
      <w:r>
        <w:rPr>
          <w:szCs w:val="20"/>
        </w:rPr>
        <w:t xml:space="preserve">, </w:t>
      </w:r>
      <w:r w:rsidRPr="00CB51F7">
        <w:rPr>
          <w:i/>
          <w:szCs w:val="20"/>
        </w:rPr>
        <w:t>available at</w:t>
      </w:r>
      <w:r>
        <w:rPr>
          <w:szCs w:val="20"/>
        </w:rPr>
        <w:t xml:space="preserve"> </w:t>
      </w:r>
      <w:r w:rsidRPr="00CB51F7">
        <w:rPr>
          <w:szCs w:val="20"/>
        </w:rPr>
        <w:t>http://wesscholar.wesleyan.edu/cgi/viewcontent.cgi?article=2034&amp;context=etd_hon_theses</w:t>
      </w:r>
      <w:r>
        <w:rPr>
          <w:szCs w:val="20"/>
        </w:rPr>
        <w:t>.</w:t>
      </w:r>
    </w:p>
  </w:footnote>
  <w:footnote w:id="30">
    <w:p w14:paraId="73CDF9DB" w14:textId="14B8DAD1" w:rsidR="009E62A3" w:rsidRDefault="009E62A3" w:rsidP="00B113CF">
      <w:pPr>
        <w:pStyle w:val="FootnoteText"/>
        <w:ind w:left="360" w:right="360"/>
        <w:jc w:val="both"/>
      </w:pPr>
      <w:r>
        <w:rPr>
          <w:rStyle w:val="FootnoteReference"/>
        </w:rPr>
        <w:footnoteRef/>
      </w:r>
      <w:r>
        <w:t xml:space="preserve"> </w:t>
      </w:r>
      <w:r w:rsidRPr="002B305A">
        <w:rPr>
          <w:i/>
        </w:rPr>
        <w:t>See infra</w:t>
      </w:r>
      <w:r w:rsidR="00B91E24">
        <w:t xml:space="preserve"> notes </w:t>
      </w:r>
      <w:r w:rsidR="00B91E24">
        <w:rPr>
          <w:szCs w:val="20"/>
        </w:rPr>
        <w:t>196-98</w:t>
      </w:r>
      <w:r>
        <w:t xml:space="preserve"> and accompanying text.</w:t>
      </w:r>
    </w:p>
  </w:footnote>
  <w:footnote w:id="31">
    <w:p w14:paraId="0F205764" w14:textId="0B15C5BA" w:rsidR="009E62A3" w:rsidRDefault="009E62A3" w:rsidP="00B113CF">
      <w:pPr>
        <w:pStyle w:val="FootnoteText"/>
        <w:ind w:left="360" w:right="360"/>
        <w:jc w:val="both"/>
      </w:pPr>
      <w:r>
        <w:rPr>
          <w:rStyle w:val="FootnoteReference"/>
        </w:rPr>
        <w:footnoteRef/>
      </w:r>
      <w:r>
        <w:t xml:space="preserve"> A primary distinction exists between </w:t>
      </w:r>
      <w:r w:rsidRPr="00E0188A">
        <w:rPr>
          <w:i/>
        </w:rPr>
        <w:t>jus in bello</w:t>
      </w:r>
      <w:r>
        <w:t>—the international law regulating</w:t>
      </w:r>
      <w:r w:rsidRPr="00703F35">
        <w:t xml:space="preserve"> conduct</w:t>
      </w:r>
      <w:r>
        <w:t xml:space="preserve"> </w:t>
      </w:r>
      <w:r w:rsidRPr="00E0188A">
        <w:t>during</w:t>
      </w:r>
      <w:r>
        <w:t xml:space="preserve"> war—and </w:t>
      </w:r>
      <w:r w:rsidRPr="00703F35">
        <w:rPr>
          <w:i/>
        </w:rPr>
        <w:t>jus ad bell</w:t>
      </w:r>
      <w:r>
        <w:rPr>
          <w:i/>
        </w:rPr>
        <w:t>um</w:t>
      </w:r>
      <w:r>
        <w:t>—the</w:t>
      </w:r>
      <w:r w:rsidRPr="00703F35">
        <w:t xml:space="preserve"> international law regulating </w:t>
      </w:r>
      <w:r>
        <w:t xml:space="preserve">the justifications for going to war. </w:t>
      </w:r>
      <w:r w:rsidRPr="00860E12">
        <w:rPr>
          <w:smallCaps/>
          <w:szCs w:val="20"/>
        </w:rPr>
        <w:t>Jennifer K. Elsea, Cong. Research Serv. RL31367, Treatment of “Battlefield Detainees” in the War on Terrorism</w:t>
      </w:r>
      <w:r>
        <w:rPr>
          <w:szCs w:val="20"/>
        </w:rPr>
        <w:t xml:space="preserve"> 11 (2007), </w:t>
      </w:r>
      <w:r w:rsidRPr="003C7E76">
        <w:rPr>
          <w:i/>
        </w:rPr>
        <w:t>available at</w:t>
      </w:r>
      <w:r w:rsidRPr="003C7E76">
        <w:t xml:space="preserve"> </w:t>
      </w:r>
      <w:r w:rsidRPr="003C7E76">
        <w:rPr>
          <w:rFonts w:cs="Lucida Grande"/>
          <w:color w:val="000000"/>
        </w:rPr>
        <w:t>https://www.fas.org/sgp/crs/terror/RL31367.pdf</w:t>
      </w:r>
      <w:r>
        <w:rPr>
          <w:rFonts w:cs="Lucida Grande"/>
          <w:color w:val="000000"/>
        </w:rPr>
        <w:t>.</w:t>
      </w:r>
    </w:p>
  </w:footnote>
  <w:footnote w:id="32">
    <w:p w14:paraId="5A21A8FF" w14:textId="3ACE483B" w:rsidR="009E62A3" w:rsidRDefault="009E62A3" w:rsidP="00280704">
      <w:pPr>
        <w:pStyle w:val="FootnoteText"/>
        <w:ind w:left="360"/>
        <w:jc w:val="both"/>
      </w:pPr>
      <w:r>
        <w:rPr>
          <w:rStyle w:val="FootnoteReference"/>
        </w:rPr>
        <w:footnoteRef/>
      </w:r>
      <w:r>
        <w:t xml:space="preserve"> </w:t>
      </w:r>
      <w:r w:rsidRPr="005340C0">
        <w:rPr>
          <w:szCs w:val="20"/>
        </w:rPr>
        <w:t>I</w:t>
      </w:r>
      <w:r>
        <w:rPr>
          <w:szCs w:val="20"/>
        </w:rPr>
        <w:t>nt’l Comm. of the Red Cross</w:t>
      </w:r>
      <w:r w:rsidRPr="005340C0">
        <w:rPr>
          <w:szCs w:val="20"/>
        </w:rPr>
        <w:t xml:space="preserve">, </w:t>
      </w:r>
      <w:r w:rsidRPr="00C900B9">
        <w:rPr>
          <w:i/>
          <w:szCs w:val="20"/>
        </w:rPr>
        <w:t>How Does the Law Protect in War?</w:t>
      </w:r>
      <w:r>
        <w:rPr>
          <w:szCs w:val="20"/>
        </w:rPr>
        <w:t xml:space="preserve">, </w:t>
      </w:r>
      <w:r w:rsidRPr="00C900B9">
        <w:rPr>
          <w:szCs w:val="20"/>
        </w:rPr>
        <w:t>https://www.icrc.org/casebook/the-law/index.jsp</w:t>
      </w:r>
      <w:r w:rsidRPr="005340C0">
        <w:rPr>
          <w:szCs w:val="20"/>
        </w:rPr>
        <w:t xml:space="preserve"> (la</w:t>
      </w:r>
      <w:r>
        <w:rPr>
          <w:szCs w:val="20"/>
        </w:rPr>
        <w:t>st updated Jul. 24, 2015).</w:t>
      </w:r>
    </w:p>
  </w:footnote>
  <w:footnote w:id="33">
    <w:p w14:paraId="3531DD80" w14:textId="2C260E25" w:rsidR="009E62A3" w:rsidRPr="005340C0" w:rsidRDefault="009E62A3" w:rsidP="00280704">
      <w:pPr>
        <w:pStyle w:val="FootnoteText"/>
        <w:ind w:left="360" w:right="360"/>
        <w:jc w:val="both"/>
        <w:rPr>
          <w:szCs w:val="20"/>
        </w:rPr>
      </w:pPr>
      <w:r w:rsidRPr="005340C0">
        <w:rPr>
          <w:rStyle w:val="FootnoteReference"/>
          <w:szCs w:val="20"/>
        </w:rPr>
        <w:footnoteRef/>
      </w:r>
      <w:r w:rsidRPr="005340C0">
        <w:rPr>
          <w:szCs w:val="20"/>
        </w:rPr>
        <w:t xml:space="preserve"> </w:t>
      </w:r>
      <w:r w:rsidRPr="00280704">
        <w:rPr>
          <w:i/>
          <w:szCs w:val="20"/>
        </w:rPr>
        <w:t>Id</w:t>
      </w:r>
      <w:r>
        <w:rPr>
          <w:szCs w:val="20"/>
        </w:rPr>
        <w:t xml:space="preserve">. </w:t>
      </w:r>
      <w:r w:rsidRPr="00860E12">
        <w:rPr>
          <w:smallCaps/>
          <w:szCs w:val="20"/>
        </w:rPr>
        <w:t xml:space="preserve">Elsea, </w:t>
      </w:r>
      <w:r w:rsidRPr="00BB4910">
        <w:rPr>
          <w:i/>
          <w:iCs/>
          <w:szCs w:val="20"/>
        </w:rPr>
        <w:t>supra</w:t>
      </w:r>
      <w:r w:rsidRPr="00BB4910">
        <w:rPr>
          <w:szCs w:val="20"/>
        </w:rPr>
        <w:t> </w:t>
      </w:r>
      <w:r>
        <w:rPr>
          <w:szCs w:val="20"/>
        </w:rPr>
        <w:t>note 30,</w:t>
      </w:r>
      <w:r w:rsidRPr="00BB4910">
        <w:rPr>
          <w:szCs w:val="20"/>
        </w:rPr>
        <w:t xml:space="preserve"> at</w:t>
      </w:r>
      <w:r>
        <w:rPr>
          <w:szCs w:val="20"/>
        </w:rPr>
        <w:t xml:space="preserve"> 10-11</w:t>
      </w:r>
      <w:r w:rsidRPr="00860E12">
        <w:rPr>
          <w:szCs w:val="20"/>
        </w:rPr>
        <w:t>.</w:t>
      </w:r>
    </w:p>
  </w:footnote>
  <w:footnote w:id="34">
    <w:p w14:paraId="6C66A6C8" w14:textId="77777777"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Col. Shang Wei, </w:t>
      </w:r>
      <w:r w:rsidRPr="005340C0">
        <w:rPr>
          <w:i/>
          <w:szCs w:val="20"/>
        </w:rPr>
        <w:t xml:space="preserve">Military Ethics in Sun Tzu’s </w:t>
      </w:r>
      <w:r w:rsidRPr="005340C0">
        <w:rPr>
          <w:szCs w:val="20"/>
        </w:rPr>
        <w:t>The Art of War</w:t>
      </w:r>
      <w:r w:rsidRPr="005340C0">
        <w:rPr>
          <w:i/>
          <w:szCs w:val="20"/>
        </w:rPr>
        <w:t xml:space="preserve"> and Its Contemporary Significance</w:t>
      </w:r>
      <w:r w:rsidRPr="005340C0">
        <w:rPr>
          <w:szCs w:val="20"/>
        </w:rPr>
        <w:t xml:space="preserve">, </w:t>
      </w:r>
      <w:r w:rsidRPr="005340C0">
        <w:rPr>
          <w:i/>
          <w:szCs w:val="20"/>
        </w:rPr>
        <w:t xml:space="preserve">in </w:t>
      </w:r>
      <w:r w:rsidRPr="00C900B9">
        <w:rPr>
          <w:smallCaps/>
          <w:szCs w:val="20"/>
        </w:rPr>
        <w:t>Routledge Handbook of Military Ethics</w:t>
      </w:r>
      <w:r w:rsidRPr="005340C0">
        <w:rPr>
          <w:szCs w:val="20"/>
        </w:rPr>
        <w:t xml:space="preserve"> 215 (George R. Lucas, Jr., ed. 2015).</w:t>
      </w:r>
    </w:p>
  </w:footnote>
  <w:footnote w:id="35">
    <w:p w14:paraId="1856935F" w14:textId="12044984" w:rsidR="009E62A3" w:rsidRDefault="009E62A3" w:rsidP="000A6CE2">
      <w:pPr>
        <w:pStyle w:val="FootnoteText"/>
        <w:ind w:left="360"/>
        <w:jc w:val="both"/>
      </w:pPr>
      <w:r>
        <w:rPr>
          <w:rStyle w:val="FootnoteReference"/>
        </w:rPr>
        <w:footnoteRef/>
      </w:r>
      <w:r>
        <w:t xml:space="preserve"> </w:t>
      </w:r>
      <w:r w:rsidRPr="000A6CE2">
        <w:rPr>
          <w:smallCaps/>
          <w:szCs w:val="20"/>
        </w:rPr>
        <w:t>Sun Tzu, The Art of War</w:t>
      </w:r>
      <w:r>
        <w:t xml:space="preserve"> 13 </w:t>
      </w:r>
      <w:r w:rsidRPr="000A6CE2">
        <w:t>(</w:t>
      </w:r>
      <w:r>
        <w:t>Fall Rover, 3d ed. 2014) (513 B.C.</w:t>
      </w:r>
      <w:r w:rsidRPr="000A6CE2">
        <w:t>).</w:t>
      </w:r>
    </w:p>
  </w:footnote>
  <w:footnote w:id="36">
    <w:p w14:paraId="6C50D8F9" w14:textId="261A8457" w:rsidR="009E62A3" w:rsidRDefault="009E62A3" w:rsidP="00B91E24">
      <w:pPr>
        <w:pStyle w:val="FootnoteText"/>
        <w:ind w:left="360" w:right="270"/>
        <w:jc w:val="both"/>
      </w:pPr>
      <w:r>
        <w:rPr>
          <w:rStyle w:val="FootnoteReference"/>
        </w:rPr>
        <w:footnoteRef/>
      </w:r>
      <w:r>
        <w:t xml:space="preserve">Treaty of Westphalia, Oct. 24, 1648, art. cx, </w:t>
      </w:r>
      <w:r w:rsidRPr="004C363B">
        <w:t>http://avalon.law.yale.edu/17th_century/westphal.asp</w:t>
      </w:r>
      <w:r>
        <w:t xml:space="preserve"> (last visited Aug. 12, 2015).</w:t>
      </w:r>
    </w:p>
  </w:footnote>
  <w:footnote w:id="37">
    <w:p w14:paraId="05F68057" w14:textId="7E969243" w:rsidR="009E62A3" w:rsidRPr="002660EA" w:rsidRDefault="009E62A3" w:rsidP="00B113CF">
      <w:pPr>
        <w:pStyle w:val="FootnoteText"/>
        <w:ind w:left="360" w:right="360"/>
        <w:jc w:val="both"/>
        <w:rPr>
          <w:b/>
          <w:bCs/>
        </w:rPr>
      </w:pPr>
      <w:r>
        <w:rPr>
          <w:rStyle w:val="FootnoteReference"/>
        </w:rPr>
        <w:footnoteRef/>
      </w:r>
      <w:r>
        <w:t xml:space="preserve"> </w:t>
      </w:r>
      <w:r w:rsidRPr="002660EA">
        <w:rPr>
          <w:smallCaps/>
          <w:szCs w:val="20"/>
        </w:rPr>
        <w:t>Emer de Vattel, The Law of Nations, Or, Principles of the Law of Nature Applied to the Conduct and Affairs of Nations and Sovereigns</w:t>
      </w:r>
      <w:r>
        <w:t xml:space="preserve"> 347-48 (1797), </w:t>
      </w:r>
      <w:r w:rsidRPr="002660EA">
        <w:rPr>
          <w:i/>
        </w:rPr>
        <w:t>available at</w:t>
      </w:r>
      <w:r>
        <w:t xml:space="preserve"> </w:t>
      </w:r>
      <w:r w:rsidRPr="002660EA">
        <w:t>https://goo.gl/8OBPLs</w:t>
      </w:r>
      <w:r>
        <w:t>.</w:t>
      </w:r>
    </w:p>
  </w:footnote>
  <w:footnote w:id="38">
    <w:p w14:paraId="6B78ECA3" w14:textId="47BE7BA2" w:rsidR="009E62A3" w:rsidRDefault="009E62A3" w:rsidP="00B113CF">
      <w:pPr>
        <w:pStyle w:val="FootnoteText"/>
        <w:ind w:left="360" w:right="360"/>
        <w:jc w:val="both"/>
      </w:pPr>
      <w:r>
        <w:rPr>
          <w:rStyle w:val="FootnoteReference"/>
        </w:rPr>
        <w:footnoteRef/>
      </w:r>
      <w:r>
        <w:t xml:space="preserve"> </w:t>
      </w:r>
      <w:r w:rsidRPr="002660EA">
        <w:rPr>
          <w:i/>
        </w:rPr>
        <w:t>Id</w:t>
      </w:r>
      <w:r>
        <w:t>. at 351.</w:t>
      </w:r>
    </w:p>
  </w:footnote>
  <w:footnote w:id="39">
    <w:p w14:paraId="353DA0E1" w14:textId="3223C91B"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2660EA">
        <w:rPr>
          <w:i/>
        </w:rPr>
        <w:t>Id</w:t>
      </w:r>
      <w:r>
        <w:t xml:space="preserve">. at 352; </w:t>
      </w:r>
      <w:r w:rsidRPr="002660EA">
        <w:rPr>
          <w:i/>
        </w:rPr>
        <w:t>See also</w:t>
      </w:r>
      <w:r>
        <w:t xml:space="preserve"> </w:t>
      </w:r>
      <w:r w:rsidRPr="002660EA">
        <w:rPr>
          <w:smallCaps/>
          <w:szCs w:val="20"/>
        </w:rPr>
        <w:t>John Fabian Witt, Lincoln’s Code: The Laws of War in American History</w:t>
      </w:r>
      <w:r w:rsidRPr="005340C0">
        <w:rPr>
          <w:szCs w:val="20"/>
        </w:rPr>
        <w:t xml:space="preserve"> 18</w:t>
      </w:r>
      <w:r>
        <w:rPr>
          <w:szCs w:val="20"/>
        </w:rPr>
        <w:t xml:space="preserve"> (2012)</w:t>
      </w:r>
      <w:r w:rsidRPr="005340C0">
        <w:rPr>
          <w:szCs w:val="20"/>
        </w:rPr>
        <w:t>.</w:t>
      </w:r>
    </w:p>
  </w:footnote>
  <w:footnote w:id="40">
    <w:p w14:paraId="57AD96AB" w14:textId="7FF2114B" w:rsidR="009E62A3" w:rsidRPr="00644DB6" w:rsidRDefault="009E62A3" w:rsidP="00B113CF">
      <w:pPr>
        <w:pStyle w:val="FootnoteText"/>
        <w:ind w:left="360" w:right="360"/>
        <w:jc w:val="both"/>
        <w:rPr>
          <w:highlight w:val="yellow"/>
        </w:rPr>
      </w:pPr>
      <w:r w:rsidRPr="005340C0">
        <w:rPr>
          <w:rStyle w:val="FootnoteReference"/>
          <w:szCs w:val="20"/>
        </w:rPr>
        <w:footnoteRef/>
      </w:r>
      <w:r w:rsidRPr="005340C0">
        <w:rPr>
          <w:szCs w:val="20"/>
        </w:rPr>
        <w:t xml:space="preserve"> </w:t>
      </w:r>
      <w:r w:rsidRPr="00644DB6">
        <w:t xml:space="preserve">Minutes of the Conference, 18–24 October 1775, </w:t>
      </w:r>
      <w:r w:rsidRPr="00644DB6">
        <w:rPr>
          <w:smallCaps/>
          <w:szCs w:val="20"/>
        </w:rPr>
        <w:t>Founders Online, Nat’l Archives</w:t>
      </w:r>
      <w:r w:rsidRPr="00644DB6">
        <w:t xml:space="preserve"> (June 29, 2015), http://founders.archives.gov/documents/Washington/03-02-02-0175-0003.</w:t>
      </w:r>
      <w:r>
        <w:t xml:space="preserve"> </w:t>
      </w:r>
      <w:r w:rsidRPr="00644DB6">
        <w:rPr>
          <w:i/>
        </w:rPr>
        <w:t>See also</w:t>
      </w:r>
      <w:r>
        <w:t xml:space="preserve"> Antonio Scott </w:t>
      </w:r>
      <w:r w:rsidRPr="005340C0">
        <w:rPr>
          <w:szCs w:val="20"/>
        </w:rPr>
        <w:t>Thompson, Men in German Uniform: German Prisoners of War Held in the United States During World War II</w:t>
      </w:r>
      <w:r>
        <w:rPr>
          <w:szCs w:val="20"/>
        </w:rPr>
        <w:t>,</w:t>
      </w:r>
      <w:r w:rsidRPr="005340C0">
        <w:rPr>
          <w:szCs w:val="20"/>
        </w:rPr>
        <w:t xml:space="preserve"> at 6-7</w:t>
      </w:r>
      <w:r>
        <w:rPr>
          <w:szCs w:val="20"/>
        </w:rPr>
        <w:t xml:space="preserve"> (Apr. 12, 2006) </w:t>
      </w:r>
      <w:r w:rsidRPr="00C900B9">
        <w:rPr>
          <w:szCs w:val="20"/>
        </w:rPr>
        <w:t xml:space="preserve">(unpublished Ph.D. dissertation, </w:t>
      </w:r>
      <w:r>
        <w:rPr>
          <w:szCs w:val="20"/>
        </w:rPr>
        <w:t>University of Kentucky</w:t>
      </w:r>
      <w:r w:rsidRPr="00C900B9">
        <w:rPr>
          <w:szCs w:val="20"/>
        </w:rPr>
        <w:t>)</w:t>
      </w:r>
      <w:r w:rsidRPr="005340C0">
        <w:rPr>
          <w:szCs w:val="20"/>
        </w:rPr>
        <w:t>.</w:t>
      </w:r>
    </w:p>
  </w:footnote>
  <w:footnote w:id="41">
    <w:p w14:paraId="0BBC6AC3" w14:textId="4CD820C0"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831A04">
        <w:rPr>
          <w:szCs w:val="20"/>
        </w:rPr>
        <w:t xml:space="preserve">Letter from Gen. George Washington to William Livingston, Governor of New Jersey (May 6, 1782), </w:t>
      </w:r>
      <w:r w:rsidRPr="00831A04">
        <w:rPr>
          <w:i/>
          <w:iCs/>
          <w:szCs w:val="20"/>
        </w:rPr>
        <w:t>in</w:t>
      </w:r>
      <w:r w:rsidRPr="00831A04">
        <w:rPr>
          <w:szCs w:val="20"/>
        </w:rPr>
        <w:t> </w:t>
      </w:r>
      <w:r w:rsidRPr="00831A04">
        <w:rPr>
          <w:bCs/>
          <w:szCs w:val="20"/>
        </w:rPr>
        <w:t xml:space="preserve">24 </w:t>
      </w:r>
      <w:r w:rsidRPr="00831A04">
        <w:rPr>
          <w:smallCaps/>
          <w:szCs w:val="20"/>
        </w:rPr>
        <w:t>The Writings of George Washington from the Original Manuscript Sources</w:t>
      </w:r>
      <w:r w:rsidRPr="00831A04">
        <w:rPr>
          <w:bCs/>
          <w:szCs w:val="20"/>
        </w:rPr>
        <w:t>, 1745-1799</w:t>
      </w:r>
      <w:r w:rsidRPr="00831A04">
        <w:rPr>
          <w:szCs w:val="20"/>
        </w:rPr>
        <w:t>, at 227 (John C. Fitzpatrick ed., 1938)</w:t>
      </w:r>
      <w:r w:rsidRPr="005340C0">
        <w:rPr>
          <w:szCs w:val="20"/>
        </w:rPr>
        <w:t>.</w:t>
      </w:r>
    </w:p>
  </w:footnote>
  <w:footnote w:id="42">
    <w:p w14:paraId="28744B15" w14:textId="18FB010D" w:rsidR="009E62A3" w:rsidRDefault="009E62A3" w:rsidP="00B113CF">
      <w:pPr>
        <w:pStyle w:val="FootnoteText"/>
        <w:ind w:left="360" w:right="360"/>
        <w:jc w:val="both"/>
      </w:pPr>
      <w:r>
        <w:rPr>
          <w:rStyle w:val="FootnoteReference"/>
        </w:rPr>
        <w:footnoteRef/>
      </w:r>
      <w:r>
        <w:t xml:space="preserve"> </w:t>
      </w:r>
      <w:r w:rsidRPr="00871317">
        <w:rPr>
          <w:bCs/>
          <w:i/>
          <w:szCs w:val="20"/>
        </w:rPr>
        <w:t>General Orders, 28 December 1782</w:t>
      </w:r>
      <w:r w:rsidRPr="00831A04">
        <w:rPr>
          <w:szCs w:val="20"/>
        </w:rPr>
        <w:t xml:space="preserve">, </w:t>
      </w:r>
      <w:r w:rsidRPr="00831A04">
        <w:rPr>
          <w:smallCaps/>
          <w:szCs w:val="20"/>
        </w:rPr>
        <w:t>Founders Early Access</w:t>
      </w:r>
      <w:r w:rsidRPr="00831A04">
        <w:rPr>
          <w:szCs w:val="20"/>
        </w:rPr>
        <w:t xml:space="preserve"> (last visited Aug. 5, 2015), http://rotunda.upress.virginia.edu/founders/default.xqy?keys=FOEA-chron-1780-1782-12-28-1</w:t>
      </w:r>
      <w:r>
        <w:rPr>
          <w:szCs w:val="20"/>
        </w:rPr>
        <w:t>.</w:t>
      </w:r>
    </w:p>
  </w:footnote>
  <w:footnote w:id="43">
    <w:p w14:paraId="3EC2C282" w14:textId="245CB445" w:rsidR="009E62A3" w:rsidRDefault="009E62A3" w:rsidP="00B113CF">
      <w:pPr>
        <w:pStyle w:val="FootnoteText"/>
        <w:ind w:left="360" w:right="360"/>
        <w:jc w:val="both"/>
      </w:pPr>
      <w:r>
        <w:rPr>
          <w:rStyle w:val="FootnoteReference"/>
        </w:rPr>
        <w:footnoteRef/>
      </w:r>
      <w:r>
        <w:t xml:space="preserve"> Treaty </w:t>
      </w:r>
      <w:r w:rsidRPr="000A5E73">
        <w:rPr>
          <w:bCs/>
        </w:rPr>
        <w:t>of Amity and Commerce Between His Majesty the King of Prussia, and the United States of America</w:t>
      </w:r>
      <w:r w:rsidRPr="000A5E73">
        <w:t>, Sept. 10, 1785, art. 24, http://avalon.law.yale.edu/18th_century/prus1785.asp (last visited Aug. 12, 2015)</w:t>
      </w:r>
      <w:r>
        <w:t>.</w:t>
      </w:r>
    </w:p>
  </w:footnote>
  <w:footnote w:id="44">
    <w:p w14:paraId="0CDA60CC" w14:textId="2A0820E2" w:rsidR="009E62A3" w:rsidRDefault="009E62A3" w:rsidP="00B113CF">
      <w:pPr>
        <w:pStyle w:val="FootnoteText"/>
        <w:ind w:left="360" w:right="360"/>
        <w:jc w:val="both"/>
      </w:pPr>
      <w:r>
        <w:rPr>
          <w:rStyle w:val="FootnoteReference"/>
        </w:rPr>
        <w:footnoteRef/>
      </w:r>
      <w:r>
        <w:t xml:space="preserve"> </w:t>
      </w:r>
      <w:r w:rsidRPr="000A5E73">
        <w:rPr>
          <w:i/>
        </w:rPr>
        <w:t>Id</w:t>
      </w:r>
      <w:r>
        <w:t>.</w:t>
      </w:r>
    </w:p>
  </w:footnote>
  <w:footnote w:id="45">
    <w:p w14:paraId="2BF8EF6F" w14:textId="2B64881A"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szCs w:val="20"/>
        </w:rPr>
        <w:t>Act of July 6, 1812, 2 Stat. 777 (repealed 1817).</w:t>
      </w:r>
    </w:p>
  </w:footnote>
  <w:footnote w:id="46">
    <w:p w14:paraId="241BE930" w14:textId="2BAEC503" w:rsidR="009E62A3" w:rsidRDefault="009E62A3" w:rsidP="00B113CF">
      <w:pPr>
        <w:pStyle w:val="FootnoteText"/>
        <w:ind w:left="360" w:right="360"/>
        <w:jc w:val="both"/>
      </w:pPr>
      <w:r>
        <w:rPr>
          <w:rStyle w:val="FootnoteReference"/>
        </w:rPr>
        <w:footnoteRef/>
      </w:r>
      <w:r>
        <w:t xml:space="preserve"> </w:t>
      </w:r>
      <w:r w:rsidRPr="00831A04">
        <w:rPr>
          <w:bCs/>
          <w:szCs w:val="20"/>
        </w:rPr>
        <w:t xml:space="preserve">Provisional Agreement, for the Exchange of Naval Prisoners of War, </w:t>
      </w:r>
      <w:r>
        <w:rPr>
          <w:bCs/>
          <w:szCs w:val="20"/>
        </w:rPr>
        <w:t>Nov. 28, 1812, art. 1</w:t>
      </w:r>
      <w:r w:rsidRPr="00831A04">
        <w:rPr>
          <w:bCs/>
          <w:szCs w:val="20"/>
        </w:rPr>
        <w:t>, http://avalon.law.yale.edu/19th_century/cartpre.asp (last visited Aug. 12, 2015).</w:t>
      </w:r>
    </w:p>
  </w:footnote>
  <w:footnote w:id="47">
    <w:p w14:paraId="22EED630" w14:textId="0F8A6224"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bCs/>
          <w:szCs w:val="20"/>
        </w:rPr>
        <w:t>Cartel for the Exchange of Prisoners of War B</w:t>
      </w:r>
      <w:r w:rsidRPr="00831A04">
        <w:rPr>
          <w:bCs/>
          <w:szCs w:val="20"/>
        </w:rPr>
        <w:t xml:space="preserve">etween Great Britain and the United States of America, </w:t>
      </w:r>
      <w:r>
        <w:rPr>
          <w:bCs/>
          <w:szCs w:val="20"/>
        </w:rPr>
        <w:t xml:space="preserve">May 12, 1813, </w:t>
      </w:r>
      <w:r w:rsidRPr="00831A04">
        <w:rPr>
          <w:bCs/>
          <w:szCs w:val="20"/>
        </w:rPr>
        <w:t>http://avalon.law.yale.edu/19th_century/cart1812.asp (last visited Aug. 12, 2015)</w:t>
      </w:r>
      <w:r>
        <w:rPr>
          <w:bCs/>
          <w:szCs w:val="20"/>
        </w:rPr>
        <w:t>.</w:t>
      </w:r>
    </w:p>
  </w:footnote>
  <w:footnote w:id="48">
    <w:p w14:paraId="1002B4EC" w14:textId="470C3030" w:rsidR="009E62A3" w:rsidRDefault="009E62A3" w:rsidP="0034338B">
      <w:pPr>
        <w:pStyle w:val="FootnoteText"/>
        <w:ind w:left="360"/>
      </w:pPr>
      <w:r>
        <w:rPr>
          <w:rStyle w:val="FootnoteReference"/>
        </w:rPr>
        <w:footnoteRef/>
      </w:r>
      <w:r>
        <w:t xml:space="preserve"> </w:t>
      </w:r>
      <w:r w:rsidRPr="005340C0">
        <w:rPr>
          <w:smallCaps/>
          <w:szCs w:val="20"/>
        </w:rPr>
        <w:t>George G. Lewis &amp; John Mewha,</w:t>
      </w:r>
      <w:r>
        <w:rPr>
          <w:smallCaps/>
          <w:szCs w:val="20"/>
        </w:rPr>
        <w:t xml:space="preserve"> U.S. Dep’t of Army,</w:t>
      </w:r>
      <w:r w:rsidRPr="005340C0">
        <w:rPr>
          <w:smallCaps/>
          <w:szCs w:val="20"/>
        </w:rPr>
        <w:t xml:space="preserve"> History of Prisoner of War Utilization by the United States Army, 1776-1945</w:t>
      </w:r>
      <w:r>
        <w:rPr>
          <w:smallCaps/>
          <w:szCs w:val="20"/>
        </w:rPr>
        <w:t>,</w:t>
      </w:r>
      <w:r>
        <w:rPr>
          <w:szCs w:val="20"/>
        </w:rPr>
        <w:t xml:space="preserve"> at 27-28 (1955).</w:t>
      </w:r>
    </w:p>
  </w:footnote>
  <w:footnote w:id="49">
    <w:p w14:paraId="1AE84E95" w14:textId="396E5BEE"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0A5E73">
        <w:rPr>
          <w:i/>
        </w:rPr>
        <w:t>Id</w:t>
      </w:r>
      <w:r>
        <w:t xml:space="preserve">. </w:t>
      </w:r>
      <w:r>
        <w:rPr>
          <w:szCs w:val="20"/>
        </w:rPr>
        <w:t>at 29-30.</w:t>
      </w:r>
    </w:p>
  </w:footnote>
  <w:footnote w:id="50">
    <w:p w14:paraId="0499A78F" w14:textId="7ECB4730" w:rsidR="009E62A3" w:rsidRDefault="009E62A3" w:rsidP="00B113CF">
      <w:pPr>
        <w:pStyle w:val="FootnoteText"/>
        <w:ind w:left="360" w:right="360"/>
        <w:jc w:val="both"/>
      </w:pPr>
      <w:r>
        <w:rPr>
          <w:rStyle w:val="FootnoteReference"/>
        </w:rPr>
        <w:footnoteRef/>
      </w:r>
      <w:r>
        <w:t xml:space="preserve"> </w:t>
      </w:r>
      <w:r w:rsidRPr="00E56015">
        <w:rPr>
          <w:smallCaps/>
          <w:szCs w:val="20"/>
        </w:rPr>
        <w:t>Burrus M. Carnahan, Act of Justice: Lincoln’s Emancipation Proclamation and the Law of War</w:t>
      </w:r>
      <w:r>
        <w:rPr>
          <w:szCs w:val="20"/>
        </w:rPr>
        <w:t xml:space="preserve"> 131 (2007).</w:t>
      </w:r>
    </w:p>
  </w:footnote>
  <w:footnote w:id="51">
    <w:p w14:paraId="773EBD2B" w14:textId="52B848DC" w:rsidR="009E62A3" w:rsidRDefault="009E62A3" w:rsidP="00B113CF">
      <w:pPr>
        <w:pStyle w:val="FootnoteText"/>
        <w:ind w:left="360" w:right="360"/>
        <w:jc w:val="both"/>
      </w:pPr>
      <w:r>
        <w:rPr>
          <w:rStyle w:val="FootnoteReference"/>
        </w:rPr>
        <w:footnoteRef/>
      </w:r>
      <w:r>
        <w:t xml:space="preserve"> </w:t>
      </w:r>
      <w:r w:rsidRPr="00B81B63">
        <w:rPr>
          <w:smallCaps/>
          <w:szCs w:val="20"/>
        </w:rPr>
        <w:t>U.S. Dep’t of War, Instructions for the Government of the Armies of the United States in the Field by Order of the Secretary of War, General Orders No. 100</w:t>
      </w:r>
      <w:r>
        <w:rPr>
          <w:smallCaps/>
          <w:szCs w:val="20"/>
        </w:rPr>
        <w:t xml:space="preserve"> (</w:t>
      </w:r>
      <w:r w:rsidRPr="00B81B63">
        <w:rPr>
          <w:szCs w:val="20"/>
        </w:rPr>
        <w:t>Gov’t Printing Off.</w:t>
      </w:r>
      <w:r>
        <w:rPr>
          <w:szCs w:val="20"/>
        </w:rPr>
        <w:t xml:space="preserve"> 1898) </w:t>
      </w:r>
      <w:r w:rsidRPr="00DC08EB">
        <w:rPr>
          <w:szCs w:val="20"/>
        </w:rPr>
        <w:t xml:space="preserve">(1863), </w:t>
      </w:r>
      <w:r>
        <w:rPr>
          <w:i/>
          <w:szCs w:val="20"/>
        </w:rPr>
        <w:t xml:space="preserve">available at </w:t>
      </w:r>
      <w:r w:rsidRPr="00B81B63">
        <w:rPr>
          <w:szCs w:val="20"/>
        </w:rPr>
        <w:t>http://www.loc.gov/rr/frd/Military_Law/Lieber_Collection/pdf/Instructions-gov-armies.pdf.</w:t>
      </w:r>
    </w:p>
  </w:footnote>
  <w:footnote w:id="52">
    <w:p w14:paraId="7D4EFFAC" w14:textId="13DB8EA9" w:rsidR="009E62A3" w:rsidRDefault="009E62A3" w:rsidP="00B113CF">
      <w:pPr>
        <w:pStyle w:val="FootnoteText"/>
        <w:ind w:left="360" w:right="360"/>
        <w:jc w:val="both"/>
      </w:pPr>
      <w:r>
        <w:rPr>
          <w:rStyle w:val="FootnoteReference"/>
        </w:rPr>
        <w:footnoteRef/>
      </w:r>
      <w:r>
        <w:t xml:space="preserve"> </w:t>
      </w:r>
      <w:r w:rsidRPr="00B81B63">
        <w:rPr>
          <w:i/>
        </w:rPr>
        <w:t>Id</w:t>
      </w:r>
      <w:r>
        <w:t>. at art. 56.</w:t>
      </w:r>
    </w:p>
  </w:footnote>
  <w:footnote w:id="53">
    <w:p w14:paraId="5FDAAEB9" w14:textId="2FD92595" w:rsidR="009E62A3" w:rsidRDefault="009E62A3" w:rsidP="00B113CF">
      <w:pPr>
        <w:pStyle w:val="FootnoteText"/>
        <w:ind w:left="360" w:right="360"/>
        <w:jc w:val="both"/>
      </w:pPr>
      <w:r>
        <w:rPr>
          <w:rStyle w:val="FootnoteReference"/>
        </w:rPr>
        <w:footnoteRef/>
      </w:r>
      <w:r>
        <w:t xml:space="preserve"> </w:t>
      </w:r>
      <w:r w:rsidRPr="00591C44">
        <w:rPr>
          <w:i/>
        </w:rPr>
        <w:t>Id</w:t>
      </w:r>
      <w:r>
        <w:t>. at art. 43.</w:t>
      </w:r>
    </w:p>
  </w:footnote>
  <w:footnote w:id="54">
    <w:p w14:paraId="0B7DA41D" w14:textId="424DE753" w:rsidR="009E62A3" w:rsidRDefault="009E62A3" w:rsidP="00B113CF">
      <w:pPr>
        <w:pStyle w:val="FootnoteText"/>
        <w:ind w:left="360" w:right="360"/>
        <w:jc w:val="both"/>
      </w:pPr>
      <w:r>
        <w:rPr>
          <w:rStyle w:val="FootnoteReference"/>
        </w:rPr>
        <w:footnoteRef/>
      </w:r>
      <w:r>
        <w:t xml:space="preserve"> Gen. Order No. 252 (July 30, 1863), </w:t>
      </w:r>
      <w:r w:rsidRPr="00871317">
        <w:rPr>
          <w:i/>
        </w:rPr>
        <w:t>as quoted in</w:t>
      </w:r>
      <w:r>
        <w:t xml:space="preserve"> </w:t>
      </w:r>
      <w:r>
        <w:rPr>
          <w:smallCaps/>
          <w:szCs w:val="20"/>
        </w:rPr>
        <w:t xml:space="preserve">Burrus, </w:t>
      </w:r>
      <w:r w:rsidRPr="00BB4910">
        <w:rPr>
          <w:i/>
          <w:iCs/>
          <w:szCs w:val="20"/>
        </w:rPr>
        <w:t>supra</w:t>
      </w:r>
      <w:r w:rsidRPr="00BB4910">
        <w:rPr>
          <w:szCs w:val="20"/>
        </w:rPr>
        <w:t> </w:t>
      </w:r>
      <w:r>
        <w:rPr>
          <w:szCs w:val="20"/>
        </w:rPr>
        <w:t xml:space="preserve">note 49, at 131. </w:t>
      </w:r>
    </w:p>
  </w:footnote>
  <w:footnote w:id="55">
    <w:p w14:paraId="792DDD6B" w14:textId="21D5D840"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Thompson, </w:t>
      </w:r>
      <w:r w:rsidRPr="00BB4910">
        <w:rPr>
          <w:i/>
          <w:iCs/>
          <w:szCs w:val="20"/>
        </w:rPr>
        <w:t>supra</w:t>
      </w:r>
      <w:r w:rsidRPr="00BB4910">
        <w:rPr>
          <w:szCs w:val="20"/>
        </w:rPr>
        <w:t> </w:t>
      </w:r>
      <w:r>
        <w:rPr>
          <w:szCs w:val="20"/>
        </w:rPr>
        <w:t>note 39,</w:t>
      </w:r>
      <w:r w:rsidRPr="00BB4910">
        <w:rPr>
          <w:szCs w:val="20"/>
        </w:rPr>
        <w:t xml:space="preserve"> at</w:t>
      </w:r>
      <w:r w:rsidRPr="005340C0">
        <w:rPr>
          <w:szCs w:val="20"/>
        </w:rPr>
        <w:t xml:space="preserve"> 16.</w:t>
      </w:r>
    </w:p>
  </w:footnote>
  <w:footnote w:id="56">
    <w:p w14:paraId="0E9225B6" w14:textId="3C6E8D86" w:rsidR="009E62A3" w:rsidRDefault="009E62A3" w:rsidP="00B113CF">
      <w:pPr>
        <w:pStyle w:val="FootnoteText"/>
        <w:ind w:left="360" w:right="360"/>
        <w:jc w:val="both"/>
      </w:pPr>
      <w:r>
        <w:rPr>
          <w:rStyle w:val="FootnoteReference"/>
        </w:rPr>
        <w:footnoteRef/>
      </w:r>
      <w:r>
        <w:t xml:space="preserve"> Tim Beckman, </w:t>
      </w:r>
      <w:r w:rsidRPr="00D5040B">
        <w:rPr>
          <w:bCs/>
          <w:szCs w:val="20"/>
        </w:rPr>
        <w:t>Camp Morton – Civil War Camp and Union Prison</w:t>
      </w:r>
      <w:r>
        <w:rPr>
          <w:bCs/>
          <w:szCs w:val="20"/>
        </w:rPr>
        <w:t xml:space="preserve">, 1861-1865, </w:t>
      </w:r>
      <w:r w:rsidRPr="00D5040B">
        <w:rPr>
          <w:smallCaps/>
          <w:szCs w:val="20"/>
        </w:rPr>
        <w:t>RootsWeb</w:t>
      </w:r>
      <w:r>
        <w:rPr>
          <w:bCs/>
          <w:szCs w:val="20"/>
        </w:rPr>
        <w:t xml:space="preserve"> (Dec. 23, 2012), </w:t>
      </w:r>
      <w:r w:rsidRPr="00D5040B">
        <w:rPr>
          <w:bCs/>
          <w:szCs w:val="20"/>
        </w:rPr>
        <w:t>http://freepages.history.rootsweb.ancestry.com/~indiana42nd/campmorton.htm</w:t>
      </w:r>
      <w:r>
        <w:rPr>
          <w:bCs/>
          <w:szCs w:val="20"/>
        </w:rPr>
        <w:t>.</w:t>
      </w:r>
    </w:p>
  </w:footnote>
  <w:footnote w:id="57">
    <w:p w14:paraId="65A68D33" w14:textId="1FFB9D12" w:rsidR="009E62A3" w:rsidRDefault="009E62A3" w:rsidP="00B113CF">
      <w:pPr>
        <w:pStyle w:val="FootnoteText"/>
        <w:ind w:left="360" w:right="360"/>
        <w:jc w:val="both"/>
      </w:pPr>
      <w:r>
        <w:rPr>
          <w:rStyle w:val="FootnoteReference"/>
        </w:rPr>
        <w:footnoteRef/>
      </w:r>
      <w:r>
        <w:t xml:space="preserve"> </w:t>
      </w:r>
      <w:r w:rsidRPr="00B81B63">
        <w:rPr>
          <w:i/>
        </w:rPr>
        <w:t>Id</w:t>
      </w:r>
      <w:r>
        <w:t>.</w:t>
      </w:r>
    </w:p>
  </w:footnote>
  <w:footnote w:id="58">
    <w:p w14:paraId="77686504" w14:textId="54E84290" w:rsidR="009E62A3" w:rsidRDefault="009E62A3" w:rsidP="00B113CF">
      <w:pPr>
        <w:pStyle w:val="FootnoteText"/>
        <w:ind w:left="360" w:right="360"/>
        <w:jc w:val="both"/>
      </w:pPr>
      <w:r>
        <w:rPr>
          <w:rStyle w:val="FootnoteReference"/>
        </w:rPr>
        <w:footnoteRef/>
      </w:r>
      <w:r>
        <w:t xml:space="preserve"> </w:t>
      </w:r>
      <w:r w:rsidRPr="00B81B63">
        <w:rPr>
          <w:i/>
        </w:rPr>
        <w:t>Id</w:t>
      </w:r>
      <w:r>
        <w:t>.</w:t>
      </w:r>
    </w:p>
  </w:footnote>
  <w:footnote w:id="59">
    <w:p w14:paraId="0B6CBA95" w14:textId="17F45237" w:rsidR="009E62A3" w:rsidRDefault="009E62A3" w:rsidP="00B113CF">
      <w:pPr>
        <w:pStyle w:val="FootnoteText"/>
        <w:ind w:left="360" w:right="360"/>
        <w:jc w:val="both"/>
      </w:pPr>
      <w:r>
        <w:rPr>
          <w:rStyle w:val="FootnoteReference"/>
        </w:rPr>
        <w:footnoteRef/>
      </w:r>
      <w:r>
        <w:t xml:space="preserve"> </w:t>
      </w:r>
      <w:r w:rsidRPr="00412F5C">
        <w:rPr>
          <w:bCs/>
          <w:i/>
          <w:szCs w:val="20"/>
        </w:rPr>
        <w:t>Instructions for the Government of Armies of the United States in the Field (Lieber Code). 24 April 1863</w:t>
      </w:r>
      <w:r>
        <w:rPr>
          <w:bCs/>
          <w:szCs w:val="20"/>
        </w:rPr>
        <w:t xml:space="preserve">, </w:t>
      </w:r>
      <w:r w:rsidRPr="00412F5C">
        <w:rPr>
          <w:smallCaps/>
          <w:szCs w:val="20"/>
        </w:rPr>
        <w:t>Int’l Comm. of the Red Cross</w:t>
      </w:r>
      <w:r>
        <w:rPr>
          <w:smallCaps/>
          <w:szCs w:val="20"/>
        </w:rPr>
        <w:t>,</w:t>
      </w:r>
      <w:r>
        <w:t xml:space="preserve"> </w:t>
      </w:r>
      <w:r w:rsidRPr="00412F5C">
        <w:t>https://www.icrc.org/ihl/INTRO/110?OpenDocument</w:t>
      </w:r>
      <w:r>
        <w:t xml:space="preserve"> (last visited Aug. 10, 2015).</w:t>
      </w:r>
    </w:p>
  </w:footnote>
  <w:footnote w:id="60">
    <w:p w14:paraId="62FA29E9" w14:textId="248BEC5B" w:rsidR="009E62A3" w:rsidRDefault="009E62A3" w:rsidP="00B113CF">
      <w:pPr>
        <w:pStyle w:val="FootnoteText"/>
        <w:ind w:left="360" w:right="360"/>
        <w:jc w:val="both"/>
      </w:pPr>
      <w:r>
        <w:rPr>
          <w:rStyle w:val="FootnoteReference"/>
        </w:rPr>
        <w:footnoteRef/>
      </w:r>
      <w:r>
        <w:t xml:space="preserve"> </w:t>
      </w:r>
      <w:r w:rsidRPr="00AE60A3">
        <w:rPr>
          <w:i/>
        </w:rPr>
        <w:t>Henry Dunant (1828-1910)</w:t>
      </w:r>
      <w:r>
        <w:t xml:space="preserve">, </w:t>
      </w:r>
      <w:r w:rsidRPr="00412F5C">
        <w:rPr>
          <w:smallCaps/>
          <w:szCs w:val="20"/>
        </w:rPr>
        <w:t>Int’l Comm. of the Red Cross</w:t>
      </w:r>
      <w:r>
        <w:t xml:space="preserve"> (June 4, 1998), </w:t>
      </w:r>
      <w:r w:rsidRPr="00AE60A3">
        <w:t>https://www.icrc.org/eng/resources/documents/misc/57jnvq.htm</w:t>
      </w:r>
      <w:r>
        <w:t xml:space="preserve">. </w:t>
      </w:r>
    </w:p>
  </w:footnote>
  <w:footnote w:id="61">
    <w:p w14:paraId="3B29425F" w14:textId="72611AF7" w:rsidR="009E62A3" w:rsidRDefault="009E62A3" w:rsidP="00B113CF">
      <w:pPr>
        <w:pStyle w:val="FootnoteText"/>
        <w:ind w:left="360" w:right="360"/>
        <w:jc w:val="both"/>
      </w:pPr>
      <w:r>
        <w:rPr>
          <w:rStyle w:val="FootnoteReference"/>
        </w:rPr>
        <w:footnoteRef/>
      </w:r>
      <w:r>
        <w:t xml:space="preserve"> </w:t>
      </w:r>
      <w:r w:rsidRPr="000E6F3F">
        <w:t>Geneva Convention for the Amelioration of the Condi</w:t>
      </w:r>
      <w:r>
        <w:t xml:space="preserve">tion of the Wounded and Sick in </w:t>
      </w:r>
      <w:r w:rsidRPr="000E6F3F">
        <w:t>Armies in the Field</w:t>
      </w:r>
      <w:r>
        <w:t xml:space="preserve">, Aug. </w:t>
      </w:r>
      <w:r w:rsidRPr="000E6F3F">
        <w:t>22</w:t>
      </w:r>
      <w:r>
        <w:t>,</w:t>
      </w:r>
      <w:r w:rsidRPr="000E6F3F">
        <w:t xml:space="preserve"> 1</w:t>
      </w:r>
      <w:r>
        <w:t xml:space="preserve">864, 22 Stat. 940, T.S. No. 377. The conference adjourned with only twelve signatory states, and the United States would not become a party to the Convention until 1888; </w:t>
      </w:r>
      <w:r w:rsidRPr="00226164">
        <w:rPr>
          <w:i/>
        </w:rPr>
        <w:t>see</w:t>
      </w:r>
      <w:r>
        <w:t xml:space="preserve"> </w:t>
      </w:r>
      <w:r w:rsidRPr="00226164">
        <w:rPr>
          <w:i/>
        </w:rPr>
        <w:t xml:space="preserve">States Party to </w:t>
      </w:r>
      <w:r w:rsidRPr="00226164">
        <w:rPr>
          <w:bCs/>
          <w:i/>
        </w:rPr>
        <w:t>Convention for the Amelioration of the Condition of the Wounded in Armies in the Field</w:t>
      </w:r>
      <w:r>
        <w:rPr>
          <w:bCs/>
        </w:rPr>
        <w:t xml:space="preserve">, </w:t>
      </w:r>
      <w:r w:rsidRPr="00412F5C">
        <w:rPr>
          <w:smallCaps/>
          <w:szCs w:val="20"/>
        </w:rPr>
        <w:t>Int’l Comm. of the Red Cross</w:t>
      </w:r>
      <w:r>
        <w:t xml:space="preserve">, </w:t>
      </w:r>
      <w:r w:rsidRPr="00226164">
        <w:t>https://www.icrc.org/applic/ihl/ihl.nsf/States.xsp?xp_viewStates=XPages_NORMStatesParties&amp;xp_treatySelected=120</w:t>
      </w:r>
      <w:r>
        <w:t xml:space="preserve"> (last visited Aug. 15, 2015).</w:t>
      </w:r>
    </w:p>
  </w:footnote>
  <w:footnote w:id="62">
    <w:p w14:paraId="00926E55" w14:textId="4C511A0A" w:rsidR="009E62A3" w:rsidRDefault="009E62A3" w:rsidP="00B113CF">
      <w:pPr>
        <w:pStyle w:val="FootnoteText"/>
        <w:ind w:left="360" w:right="360"/>
        <w:jc w:val="both"/>
      </w:pPr>
      <w:r>
        <w:rPr>
          <w:rStyle w:val="FootnoteReference"/>
        </w:rPr>
        <w:footnoteRef/>
      </w:r>
      <w:r>
        <w:t xml:space="preserve"> </w:t>
      </w:r>
      <w:r w:rsidRPr="00F55ECE">
        <w:t>Geneva Convention for the Amelioration of the Condition of the Wounded and Sick in Armies in the Field, July 6, 1906, 35 Stat. 1885, T.S. No. 464.</w:t>
      </w:r>
      <w:r>
        <w:t xml:space="preserve"> </w:t>
      </w:r>
    </w:p>
  </w:footnote>
  <w:footnote w:id="63">
    <w:p w14:paraId="16AE771A" w14:textId="0527CAC4" w:rsidR="009E62A3" w:rsidRDefault="009E62A3" w:rsidP="00B113CF">
      <w:pPr>
        <w:pStyle w:val="FootnoteText"/>
        <w:ind w:left="360" w:right="360"/>
        <w:jc w:val="both"/>
      </w:pPr>
      <w:r>
        <w:rPr>
          <w:rStyle w:val="FootnoteReference"/>
        </w:rPr>
        <w:footnoteRef/>
      </w:r>
      <w:r>
        <w:t xml:space="preserve"> </w:t>
      </w:r>
      <w:r w:rsidRPr="0025743D">
        <w:rPr>
          <w:bCs/>
          <w:szCs w:val="20"/>
        </w:rPr>
        <w:t>Convention with Respect to the Laws and Customs of War on Land, </w:t>
      </w:r>
      <w:r>
        <w:rPr>
          <w:bCs/>
          <w:szCs w:val="20"/>
        </w:rPr>
        <w:t>July 29, 1899</w:t>
      </w:r>
      <w:r w:rsidRPr="0025743D">
        <w:rPr>
          <w:bCs/>
          <w:szCs w:val="20"/>
        </w:rPr>
        <w:t xml:space="preserve">, </w:t>
      </w:r>
      <w:r>
        <w:rPr>
          <w:bCs/>
          <w:szCs w:val="20"/>
        </w:rPr>
        <w:t xml:space="preserve">32 Stat. 1803, 187 Consol. T.S. 429 </w:t>
      </w:r>
      <w:r w:rsidRPr="0025743D">
        <w:rPr>
          <w:bCs/>
          <w:szCs w:val="20"/>
        </w:rPr>
        <w:t xml:space="preserve">(entered into force </w:t>
      </w:r>
      <w:r>
        <w:rPr>
          <w:bCs/>
          <w:szCs w:val="20"/>
        </w:rPr>
        <w:t>Sept. 4, 1900</w:t>
      </w:r>
      <w:r w:rsidRPr="0025743D">
        <w:rPr>
          <w:bCs/>
          <w:szCs w:val="20"/>
        </w:rPr>
        <w:t>)</w:t>
      </w:r>
      <w:r>
        <w:rPr>
          <w:bCs/>
          <w:szCs w:val="20"/>
        </w:rPr>
        <w:t>.</w:t>
      </w:r>
    </w:p>
  </w:footnote>
  <w:footnote w:id="64">
    <w:p w14:paraId="44A03BA9" w14:textId="423E5204" w:rsidR="009E62A3" w:rsidRDefault="009E62A3" w:rsidP="00B113CF">
      <w:pPr>
        <w:pStyle w:val="FootnoteText"/>
        <w:ind w:left="360" w:right="360"/>
        <w:jc w:val="both"/>
      </w:pPr>
      <w:r>
        <w:rPr>
          <w:rStyle w:val="FootnoteReference"/>
        </w:rPr>
        <w:footnoteRef/>
      </w:r>
      <w:r>
        <w:t xml:space="preserve"> </w:t>
      </w:r>
      <w:r w:rsidRPr="0025743D">
        <w:rPr>
          <w:bCs/>
          <w:szCs w:val="20"/>
        </w:rPr>
        <w:t xml:space="preserve">Convention </w:t>
      </w:r>
      <w:r>
        <w:rPr>
          <w:bCs/>
          <w:szCs w:val="20"/>
        </w:rPr>
        <w:t>Respecting</w:t>
      </w:r>
      <w:r w:rsidRPr="0025743D">
        <w:rPr>
          <w:bCs/>
          <w:szCs w:val="20"/>
        </w:rPr>
        <w:t xml:space="preserve"> the Laws and Customs of War on Land, </w:t>
      </w:r>
      <w:r>
        <w:rPr>
          <w:bCs/>
          <w:szCs w:val="20"/>
        </w:rPr>
        <w:t>Oct. 18, 1907</w:t>
      </w:r>
      <w:r w:rsidRPr="0025743D">
        <w:rPr>
          <w:bCs/>
          <w:szCs w:val="20"/>
        </w:rPr>
        <w:t xml:space="preserve">, </w:t>
      </w:r>
      <w:r>
        <w:rPr>
          <w:bCs/>
          <w:szCs w:val="20"/>
        </w:rPr>
        <w:t xml:space="preserve">36 Stat. 2277, 1 Bevans 631 </w:t>
      </w:r>
      <w:r w:rsidRPr="0025743D">
        <w:rPr>
          <w:bCs/>
          <w:szCs w:val="20"/>
        </w:rPr>
        <w:t xml:space="preserve">(entered into force </w:t>
      </w:r>
      <w:r>
        <w:rPr>
          <w:bCs/>
          <w:szCs w:val="20"/>
        </w:rPr>
        <w:t>Jan. 26, 1910</w:t>
      </w:r>
      <w:r w:rsidRPr="0025743D">
        <w:rPr>
          <w:bCs/>
          <w:szCs w:val="20"/>
        </w:rPr>
        <w:t>)</w:t>
      </w:r>
      <w:r>
        <w:rPr>
          <w:bCs/>
          <w:szCs w:val="20"/>
        </w:rPr>
        <w:t xml:space="preserve"> [hereinafter 1907 Hague Convention].</w:t>
      </w:r>
    </w:p>
  </w:footnote>
  <w:footnote w:id="65">
    <w:p w14:paraId="6C0CFE99" w14:textId="29510BF2" w:rsidR="009E62A3" w:rsidRDefault="009E62A3" w:rsidP="00F8637F">
      <w:pPr>
        <w:pStyle w:val="FootnoteText"/>
        <w:ind w:left="360"/>
        <w:jc w:val="both"/>
      </w:pPr>
      <w:r>
        <w:rPr>
          <w:rStyle w:val="FootnoteReference"/>
        </w:rPr>
        <w:footnoteRef/>
      </w:r>
      <w:r>
        <w:t xml:space="preserve"> Draft of an International Declaration Concerning the Laws and Customs of War Adopted by the Conference of Brussels, Aug. 27, 1874, </w:t>
      </w:r>
      <w:r w:rsidRPr="00F8637F">
        <w:rPr>
          <w:i/>
        </w:rPr>
        <w:t>reprinted in</w:t>
      </w:r>
      <w:r>
        <w:t xml:space="preserve"> </w:t>
      </w:r>
      <w:r w:rsidRPr="00F8637F">
        <w:rPr>
          <w:smallCaps/>
          <w:szCs w:val="20"/>
        </w:rPr>
        <w:t>A. Pearce Higgins, The Hague Peace Conferences and Other International Conferences Concerning the Laws and Usages of War: Texts of Conventions with Commentaries</w:t>
      </w:r>
      <w:r>
        <w:t xml:space="preserve"> 273 (photo. reprint 2014) (1909).</w:t>
      </w:r>
    </w:p>
  </w:footnote>
  <w:footnote w:id="66">
    <w:p w14:paraId="430F3FB0" w14:textId="537D9F5B" w:rsidR="009E62A3" w:rsidRDefault="009E62A3" w:rsidP="00B113CF">
      <w:pPr>
        <w:pStyle w:val="FootnoteText"/>
        <w:ind w:left="360" w:right="360"/>
        <w:jc w:val="both"/>
      </w:pPr>
      <w:r>
        <w:rPr>
          <w:rStyle w:val="FootnoteReference"/>
        </w:rPr>
        <w:footnoteRef/>
      </w:r>
      <w:r>
        <w:t xml:space="preserve"> </w:t>
      </w:r>
      <w:r>
        <w:rPr>
          <w:bCs/>
          <w:szCs w:val="20"/>
        </w:rPr>
        <w:t>1907 Hague Convention</w:t>
      </w:r>
      <w:r>
        <w:t>, annex, art. 6.</w:t>
      </w:r>
    </w:p>
  </w:footnote>
  <w:footnote w:id="67">
    <w:p w14:paraId="6D7833F9" w14:textId="73815DE6" w:rsidR="009E62A3" w:rsidRPr="00BB4910" w:rsidRDefault="009E62A3" w:rsidP="00B113CF">
      <w:pPr>
        <w:pStyle w:val="FootnoteText"/>
        <w:ind w:left="360" w:right="360"/>
        <w:jc w:val="both"/>
        <w:rPr>
          <w:smallCaps/>
          <w:szCs w:val="20"/>
        </w:rPr>
      </w:pPr>
      <w:r>
        <w:rPr>
          <w:rStyle w:val="FootnoteReference"/>
        </w:rPr>
        <w:footnoteRef/>
      </w:r>
      <w:r>
        <w:t xml:space="preserve"> </w:t>
      </w:r>
      <w:r>
        <w:rPr>
          <w:smallCaps/>
          <w:szCs w:val="20"/>
        </w:rPr>
        <w:t xml:space="preserve">Doyle, </w:t>
      </w:r>
      <w:r w:rsidRPr="00BB4910">
        <w:rPr>
          <w:i/>
          <w:iCs/>
          <w:szCs w:val="20"/>
        </w:rPr>
        <w:t>supra</w:t>
      </w:r>
      <w:r w:rsidRPr="00BB4910">
        <w:rPr>
          <w:szCs w:val="20"/>
        </w:rPr>
        <w:t> </w:t>
      </w:r>
      <w:r>
        <w:rPr>
          <w:szCs w:val="20"/>
        </w:rPr>
        <w:t>note 5,</w:t>
      </w:r>
      <w:r w:rsidRPr="00BB4910">
        <w:rPr>
          <w:szCs w:val="20"/>
        </w:rPr>
        <w:t xml:space="preserve"> at 160, 341</w:t>
      </w:r>
      <w:r>
        <w:rPr>
          <w:smallCaps/>
          <w:szCs w:val="20"/>
        </w:rPr>
        <w:t>.</w:t>
      </w:r>
    </w:p>
  </w:footnote>
  <w:footnote w:id="68">
    <w:p w14:paraId="0FC361AC" w14:textId="4E81128C" w:rsidR="009E62A3" w:rsidRDefault="009E62A3" w:rsidP="00B113CF">
      <w:pPr>
        <w:pStyle w:val="FootnoteText"/>
        <w:ind w:left="360" w:right="360"/>
        <w:jc w:val="both"/>
      </w:pPr>
      <w:r>
        <w:rPr>
          <w:rStyle w:val="FootnoteReference"/>
        </w:rPr>
        <w:footnoteRef/>
      </w:r>
      <w:r>
        <w:t xml:space="preserve"> </w:t>
      </w:r>
      <w:r w:rsidRPr="00BB4910">
        <w:rPr>
          <w:smallCaps/>
          <w:szCs w:val="20"/>
        </w:rPr>
        <w:t>U.S. Army, Intelligence Section, American Expeditionary Forces, Candid Comment on the American Soldier of 1917-1918</w:t>
      </w:r>
      <w:r>
        <w:t xml:space="preserve">, at 44 (1919), </w:t>
      </w:r>
      <w:r w:rsidRPr="00BB4910">
        <w:rPr>
          <w:i/>
        </w:rPr>
        <w:t>available at</w:t>
      </w:r>
      <w:r>
        <w:t xml:space="preserve"> </w:t>
      </w:r>
      <w:r w:rsidRPr="00BB4910">
        <w:t>http://fas.org/irp/agency/army/wwi-soldiers.pdf</w:t>
      </w:r>
      <w:r>
        <w:t>.</w:t>
      </w:r>
    </w:p>
  </w:footnote>
  <w:footnote w:id="69">
    <w:p w14:paraId="5CA08768" w14:textId="37CC739F" w:rsidR="009E62A3" w:rsidRDefault="009E62A3" w:rsidP="00B113CF">
      <w:pPr>
        <w:pStyle w:val="FootnoteText"/>
        <w:ind w:left="360" w:right="360"/>
        <w:jc w:val="both"/>
      </w:pPr>
      <w:r>
        <w:rPr>
          <w:rStyle w:val="FootnoteReference"/>
        </w:rPr>
        <w:footnoteRef/>
      </w:r>
      <w:r>
        <w:t xml:space="preserve"> </w:t>
      </w:r>
      <w:r w:rsidRPr="00BB4910">
        <w:rPr>
          <w:i/>
        </w:rPr>
        <w:t>Id</w:t>
      </w:r>
      <w:r>
        <w:t>. at 45.</w:t>
      </w:r>
    </w:p>
  </w:footnote>
  <w:footnote w:id="70">
    <w:p w14:paraId="1D50A086" w14:textId="2171118A" w:rsidR="009E62A3" w:rsidRDefault="009E62A3" w:rsidP="00B113CF">
      <w:pPr>
        <w:pStyle w:val="FootnoteText"/>
        <w:ind w:left="360" w:right="360"/>
        <w:jc w:val="both"/>
      </w:pPr>
      <w:r>
        <w:rPr>
          <w:rStyle w:val="FootnoteReference"/>
        </w:rPr>
        <w:footnoteRef/>
      </w:r>
      <w:r>
        <w:t xml:space="preserve"> </w:t>
      </w:r>
      <w:r>
        <w:rPr>
          <w:bCs/>
          <w:szCs w:val="20"/>
        </w:rPr>
        <w:t xml:space="preserve">1907 Hague Convention, </w:t>
      </w:r>
      <w:r w:rsidRPr="00BB4910">
        <w:rPr>
          <w:i/>
          <w:iCs/>
          <w:szCs w:val="20"/>
        </w:rPr>
        <w:t>supra</w:t>
      </w:r>
      <w:r w:rsidRPr="00BB4910">
        <w:rPr>
          <w:szCs w:val="20"/>
        </w:rPr>
        <w:t> </w:t>
      </w:r>
      <w:r>
        <w:rPr>
          <w:szCs w:val="20"/>
        </w:rPr>
        <w:t>note 63, at art. 2.</w:t>
      </w:r>
    </w:p>
  </w:footnote>
  <w:footnote w:id="71">
    <w:p w14:paraId="61A66985" w14:textId="58A3FE50" w:rsidR="009E62A3" w:rsidRDefault="009E62A3" w:rsidP="007E4F10">
      <w:pPr>
        <w:pStyle w:val="FootnoteText"/>
        <w:ind w:left="360"/>
        <w:jc w:val="both"/>
      </w:pPr>
      <w:r>
        <w:rPr>
          <w:rStyle w:val="FootnoteReference"/>
        </w:rPr>
        <w:footnoteRef/>
      </w:r>
      <w:r>
        <w:t xml:space="preserve"> </w:t>
      </w:r>
      <w:r>
        <w:rPr>
          <w:bCs/>
          <w:i/>
        </w:rPr>
        <w:t>Convention R</w:t>
      </w:r>
      <w:r w:rsidRPr="007E4F10">
        <w:rPr>
          <w:bCs/>
          <w:i/>
        </w:rPr>
        <w:t>elative to the Treatment of Prisoners of War, Geneva, 27 July 1929</w:t>
      </w:r>
      <w:r>
        <w:rPr>
          <w:bCs/>
        </w:rPr>
        <w:t xml:space="preserve">, </w:t>
      </w:r>
      <w:r w:rsidRPr="00412F5C">
        <w:rPr>
          <w:smallCaps/>
          <w:szCs w:val="20"/>
        </w:rPr>
        <w:t>Int’l Comm. of the Red Cross</w:t>
      </w:r>
      <w:r>
        <w:t xml:space="preserve">, </w:t>
      </w:r>
      <w:r w:rsidRPr="007E4F10">
        <w:t>https://www.icrc.org/ihl/INTRO/305?OpenDocument</w:t>
      </w:r>
      <w:r>
        <w:t xml:space="preserve"> (last visited Aug. 20, 2015).</w:t>
      </w:r>
    </w:p>
  </w:footnote>
  <w:footnote w:id="72">
    <w:p w14:paraId="50CD7D57" w14:textId="14801E47" w:rsidR="009E62A3" w:rsidRDefault="009E62A3" w:rsidP="00B113CF">
      <w:pPr>
        <w:pStyle w:val="FootnoteText"/>
        <w:ind w:left="360" w:right="360"/>
        <w:jc w:val="both"/>
      </w:pPr>
      <w:r>
        <w:rPr>
          <w:rStyle w:val="FootnoteReference"/>
        </w:rPr>
        <w:footnoteRef/>
      </w:r>
      <w:r>
        <w:t xml:space="preserve"> 1929 Geneva Convention I, </w:t>
      </w:r>
      <w:r w:rsidRPr="00BB4910">
        <w:rPr>
          <w:i/>
          <w:iCs/>
          <w:szCs w:val="20"/>
        </w:rPr>
        <w:t>supra</w:t>
      </w:r>
      <w:r w:rsidRPr="00BB4910">
        <w:rPr>
          <w:szCs w:val="20"/>
        </w:rPr>
        <w:t> </w:t>
      </w:r>
      <w:r>
        <w:rPr>
          <w:szCs w:val="20"/>
        </w:rPr>
        <w:t>note 17.</w:t>
      </w:r>
    </w:p>
  </w:footnote>
  <w:footnote w:id="73">
    <w:p w14:paraId="04591665" w14:textId="7B1492E5"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szCs w:val="20"/>
        </w:rPr>
        <w:t xml:space="preserve">1929 Geneva Convention II, </w:t>
      </w:r>
      <w:r w:rsidRPr="00BB4910">
        <w:rPr>
          <w:i/>
          <w:iCs/>
          <w:szCs w:val="20"/>
        </w:rPr>
        <w:t>supra</w:t>
      </w:r>
      <w:r w:rsidRPr="00BB4910">
        <w:rPr>
          <w:szCs w:val="20"/>
        </w:rPr>
        <w:t> </w:t>
      </w:r>
      <w:r>
        <w:rPr>
          <w:szCs w:val="20"/>
        </w:rPr>
        <w:t>note 17.</w:t>
      </w:r>
    </w:p>
  </w:footnote>
  <w:footnote w:id="74">
    <w:p w14:paraId="517B8E21" w14:textId="363BC2EB" w:rsidR="009E62A3" w:rsidRDefault="009E62A3" w:rsidP="00B113CF">
      <w:pPr>
        <w:pStyle w:val="FootnoteText"/>
        <w:ind w:left="360" w:right="360"/>
        <w:jc w:val="both"/>
      </w:pPr>
      <w:r>
        <w:rPr>
          <w:rStyle w:val="FootnoteReference"/>
        </w:rPr>
        <w:footnoteRef/>
      </w:r>
      <w:r>
        <w:t xml:space="preserve"> 1929 Geneva Convention I, </w:t>
      </w:r>
      <w:r w:rsidRPr="00BB4910">
        <w:rPr>
          <w:i/>
          <w:iCs/>
          <w:szCs w:val="20"/>
        </w:rPr>
        <w:t>supra</w:t>
      </w:r>
      <w:r w:rsidRPr="00BB4910">
        <w:rPr>
          <w:szCs w:val="20"/>
        </w:rPr>
        <w:t> </w:t>
      </w:r>
      <w:r>
        <w:rPr>
          <w:szCs w:val="20"/>
        </w:rPr>
        <w:t xml:space="preserve">note 17, at art. 82; 1929 Geneva Convention II, </w:t>
      </w:r>
      <w:r w:rsidRPr="004506F1">
        <w:rPr>
          <w:i/>
          <w:szCs w:val="20"/>
        </w:rPr>
        <w:t>supra</w:t>
      </w:r>
      <w:r>
        <w:rPr>
          <w:szCs w:val="20"/>
        </w:rPr>
        <w:t xml:space="preserve"> note 17, at art. 25.</w:t>
      </w:r>
    </w:p>
  </w:footnote>
  <w:footnote w:id="75">
    <w:p w14:paraId="46FDC271" w14:textId="0F1109F9" w:rsidR="009E62A3" w:rsidRDefault="009E62A3" w:rsidP="007E4F10">
      <w:pPr>
        <w:pStyle w:val="FootnoteText"/>
        <w:ind w:left="360"/>
      </w:pPr>
      <w:r>
        <w:rPr>
          <w:rStyle w:val="FootnoteReference"/>
        </w:rPr>
        <w:footnoteRef/>
      </w:r>
      <w:r>
        <w:t xml:space="preserve"> 1929 Geneva Convention I, </w:t>
      </w:r>
      <w:r w:rsidRPr="00BB4910">
        <w:rPr>
          <w:i/>
          <w:iCs/>
          <w:szCs w:val="20"/>
        </w:rPr>
        <w:t>supra</w:t>
      </w:r>
      <w:r w:rsidRPr="00BB4910">
        <w:rPr>
          <w:szCs w:val="20"/>
        </w:rPr>
        <w:t> </w:t>
      </w:r>
      <w:r>
        <w:rPr>
          <w:szCs w:val="20"/>
        </w:rPr>
        <w:t>note 17</w:t>
      </w:r>
      <w:r w:rsidRPr="00BB4910">
        <w:rPr>
          <w:szCs w:val="20"/>
        </w:rPr>
        <w:t xml:space="preserve">, </w:t>
      </w:r>
      <w:r>
        <w:rPr>
          <w:szCs w:val="20"/>
        </w:rPr>
        <w:t xml:space="preserve">at </w:t>
      </w:r>
      <w:r>
        <w:t>a</w:t>
      </w:r>
      <w:r w:rsidRPr="007E4F10">
        <w:t>rts. 2, 46</w:t>
      </w:r>
      <w:r>
        <w:t>.</w:t>
      </w:r>
    </w:p>
  </w:footnote>
  <w:footnote w:id="76">
    <w:p w14:paraId="68360472" w14:textId="783B4C0D" w:rsidR="009E62A3" w:rsidRDefault="009E62A3" w:rsidP="00E41CB8">
      <w:pPr>
        <w:pStyle w:val="FootnoteText"/>
        <w:ind w:left="360"/>
      </w:pPr>
      <w:r>
        <w:rPr>
          <w:rStyle w:val="FootnoteReference"/>
        </w:rPr>
        <w:footnoteRef/>
      </w:r>
      <w:r>
        <w:t xml:space="preserve"> </w:t>
      </w:r>
      <w:r w:rsidRPr="00E41CB8">
        <w:rPr>
          <w:i/>
        </w:rPr>
        <w:t>Id</w:t>
      </w:r>
      <w:r>
        <w:t>. at a</w:t>
      </w:r>
      <w:r w:rsidRPr="00E41CB8">
        <w:t>rts. 27-34</w:t>
      </w:r>
      <w:r>
        <w:t>.</w:t>
      </w:r>
    </w:p>
  </w:footnote>
  <w:footnote w:id="77">
    <w:p w14:paraId="002D877E" w14:textId="0A5B853D" w:rsidR="009E62A3" w:rsidRDefault="009E62A3" w:rsidP="00E41CB8">
      <w:pPr>
        <w:pStyle w:val="FootnoteText"/>
        <w:ind w:left="360"/>
      </w:pPr>
      <w:r>
        <w:rPr>
          <w:rStyle w:val="FootnoteReference"/>
        </w:rPr>
        <w:footnoteRef/>
      </w:r>
      <w:r>
        <w:t xml:space="preserve"> </w:t>
      </w:r>
      <w:r w:rsidRPr="00E41CB8">
        <w:rPr>
          <w:i/>
        </w:rPr>
        <w:t>Id</w:t>
      </w:r>
      <w:r>
        <w:t>. at art. 86.</w:t>
      </w:r>
    </w:p>
  </w:footnote>
  <w:footnote w:id="78">
    <w:p w14:paraId="6D626918" w14:textId="4A9E21ED" w:rsidR="009E62A3" w:rsidRDefault="009E62A3" w:rsidP="00E41CB8">
      <w:pPr>
        <w:pStyle w:val="FootnoteText"/>
        <w:ind w:left="360"/>
      </w:pPr>
      <w:r>
        <w:rPr>
          <w:rStyle w:val="FootnoteReference"/>
        </w:rPr>
        <w:footnoteRef/>
      </w:r>
      <w:r>
        <w:t xml:space="preserve"> </w:t>
      </w:r>
      <w:r w:rsidRPr="00E41CB8">
        <w:rPr>
          <w:i/>
        </w:rPr>
        <w:t>Id</w:t>
      </w:r>
      <w:r>
        <w:t>. at a</w:t>
      </w:r>
      <w:r w:rsidRPr="00E41CB8">
        <w:t>rts. 9, 10, 13, 15</w:t>
      </w:r>
      <w:r>
        <w:t>.</w:t>
      </w:r>
    </w:p>
  </w:footnote>
  <w:footnote w:id="79">
    <w:p w14:paraId="10310131" w14:textId="5AF6F008" w:rsidR="009E62A3" w:rsidRDefault="009E62A3" w:rsidP="00E41CB8">
      <w:pPr>
        <w:pStyle w:val="FootnoteText"/>
        <w:ind w:left="360"/>
      </w:pPr>
      <w:r>
        <w:rPr>
          <w:rStyle w:val="FootnoteReference"/>
        </w:rPr>
        <w:footnoteRef/>
      </w:r>
      <w:r>
        <w:t xml:space="preserve"> </w:t>
      </w:r>
      <w:r w:rsidRPr="00E41CB8">
        <w:rPr>
          <w:i/>
        </w:rPr>
        <w:t>Id</w:t>
      </w:r>
      <w:r>
        <w:t>. at art. 5.</w:t>
      </w:r>
    </w:p>
  </w:footnote>
  <w:footnote w:id="80">
    <w:p w14:paraId="66BD14C2" w14:textId="0067413E"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E41CB8">
        <w:rPr>
          <w:i/>
        </w:rPr>
        <w:t>Id</w:t>
      </w:r>
      <w:r>
        <w:t>.</w:t>
      </w:r>
    </w:p>
  </w:footnote>
  <w:footnote w:id="81">
    <w:p w14:paraId="4003416C" w14:textId="34781837" w:rsidR="009E62A3" w:rsidRDefault="009E62A3" w:rsidP="0031797A">
      <w:pPr>
        <w:pStyle w:val="FootnoteText"/>
        <w:ind w:left="360"/>
      </w:pPr>
      <w:r>
        <w:rPr>
          <w:rStyle w:val="FootnoteReference"/>
        </w:rPr>
        <w:footnoteRef/>
      </w:r>
      <w:r>
        <w:t xml:space="preserve"> Arbuckle, </w:t>
      </w:r>
      <w:r w:rsidRPr="00BB4910">
        <w:rPr>
          <w:i/>
          <w:iCs/>
          <w:szCs w:val="20"/>
        </w:rPr>
        <w:t>supra</w:t>
      </w:r>
      <w:r w:rsidRPr="00BB4910">
        <w:rPr>
          <w:szCs w:val="20"/>
        </w:rPr>
        <w:t> </w:t>
      </w:r>
      <w:r>
        <w:rPr>
          <w:szCs w:val="20"/>
        </w:rPr>
        <w:t>note 7, at 37.</w:t>
      </w:r>
    </w:p>
  </w:footnote>
  <w:footnote w:id="82">
    <w:p w14:paraId="5BC5615B" w14:textId="080670CD" w:rsidR="009E62A3" w:rsidRDefault="009E62A3" w:rsidP="0031797A">
      <w:pPr>
        <w:pStyle w:val="FootnoteText"/>
        <w:ind w:left="360"/>
      </w:pPr>
      <w:r>
        <w:rPr>
          <w:rStyle w:val="FootnoteReference"/>
        </w:rPr>
        <w:footnoteRef/>
      </w:r>
      <w:r>
        <w:t xml:space="preserve"> </w:t>
      </w:r>
      <w:r w:rsidRPr="00E41CB8">
        <w:rPr>
          <w:i/>
        </w:rPr>
        <w:t>Id</w:t>
      </w:r>
      <w:r>
        <w:t>. at 38.</w:t>
      </w:r>
    </w:p>
  </w:footnote>
  <w:footnote w:id="83">
    <w:p w14:paraId="47418689" w14:textId="56DE4C02" w:rsidR="009E62A3" w:rsidRDefault="009E62A3" w:rsidP="0031797A">
      <w:pPr>
        <w:pStyle w:val="FootnoteText"/>
        <w:ind w:left="360"/>
      </w:pPr>
      <w:r>
        <w:rPr>
          <w:rStyle w:val="FootnoteReference"/>
        </w:rPr>
        <w:footnoteRef/>
      </w:r>
      <w:r>
        <w:t xml:space="preserve"> </w:t>
      </w:r>
      <w:r w:rsidRPr="00E41CB8">
        <w:rPr>
          <w:i/>
        </w:rPr>
        <w:t>Id</w:t>
      </w:r>
      <w:r>
        <w:t>. at 36.</w:t>
      </w:r>
    </w:p>
  </w:footnote>
  <w:footnote w:id="84">
    <w:p w14:paraId="660BD1B0" w14:textId="7AE47306" w:rsidR="009E62A3" w:rsidRDefault="009E62A3" w:rsidP="00D52AA6">
      <w:pPr>
        <w:pStyle w:val="FootnoteText"/>
        <w:ind w:left="360"/>
      </w:pPr>
      <w:r>
        <w:rPr>
          <w:rStyle w:val="FootnoteReference"/>
        </w:rPr>
        <w:footnoteRef/>
      </w:r>
      <w:r>
        <w:t xml:space="preserve"> </w:t>
      </w:r>
      <w:r w:rsidRPr="00E41CB8">
        <w:rPr>
          <w:i/>
        </w:rPr>
        <w:t>Id</w:t>
      </w:r>
      <w:r>
        <w:t>. at 38.</w:t>
      </w:r>
    </w:p>
  </w:footnote>
  <w:footnote w:id="85">
    <w:p w14:paraId="0731E87E" w14:textId="3781301C" w:rsidR="009E62A3" w:rsidRDefault="009E62A3" w:rsidP="00D52AA6">
      <w:pPr>
        <w:pStyle w:val="FootnoteText"/>
        <w:ind w:left="360"/>
      </w:pPr>
      <w:r>
        <w:rPr>
          <w:rStyle w:val="FootnoteReference"/>
        </w:rPr>
        <w:footnoteRef/>
      </w:r>
      <w:r>
        <w:t xml:space="preserve"> </w:t>
      </w:r>
      <w:r w:rsidRPr="00E41CB8">
        <w:rPr>
          <w:i/>
        </w:rPr>
        <w:t>Id</w:t>
      </w:r>
      <w:r>
        <w:t>.</w:t>
      </w:r>
    </w:p>
  </w:footnote>
  <w:footnote w:id="86">
    <w:p w14:paraId="35CC2586" w14:textId="0ADC8C1E" w:rsidR="009E62A3" w:rsidRDefault="009E62A3" w:rsidP="00B113CF">
      <w:pPr>
        <w:pStyle w:val="FootnoteText"/>
        <w:ind w:left="360" w:right="360"/>
        <w:jc w:val="both"/>
      </w:pPr>
      <w:r>
        <w:rPr>
          <w:rStyle w:val="FootnoteReference"/>
        </w:rPr>
        <w:footnoteRef/>
      </w:r>
      <w:r>
        <w:t xml:space="preserve"> </w:t>
      </w:r>
      <w:r w:rsidRPr="00CA2EE7">
        <w:rPr>
          <w:i/>
        </w:rPr>
        <w:t>1537th Service Unit Operates Prisoner of War Camps</w:t>
      </w:r>
      <w:r>
        <w:t xml:space="preserve">, </w:t>
      </w:r>
      <w:r>
        <w:rPr>
          <w:szCs w:val="20"/>
        </w:rPr>
        <w:t xml:space="preserve">3 </w:t>
      </w:r>
      <w:r w:rsidRPr="008A0D12">
        <w:rPr>
          <w:smallCaps/>
          <w:szCs w:val="20"/>
        </w:rPr>
        <w:t>Camp Crier</w:t>
      </w:r>
      <w:r>
        <w:rPr>
          <w:szCs w:val="20"/>
        </w:rPr>
        <w:t>, no. 5</w:t>
      </w:r>
      <w:r w:rsidRPr="008A0D12">
        <w:rPr>
          <w:szCs w:val="20"/>
        </w:rPr>
        <w:t xml:space="preserve">, </w:t>
      </w:r>
      <w:r>
        <w:rPr>
          <w:szCs w:val="20"/>
        </w:rPr>
        <w:t xml:space="preserve">Oct. 20, 1944, at 1 [hereinafter </w:t>
      </w:r>
      <w:r w:rsidRPr="00CA2EE7">
        <w:rPr>
          <w:i/>
        </w:rPr>
        <w:t>1537th Service Unit</w:t>
      </w:r>
      <w:r>
        <w:t>]</w:t>
      </w:r>
      <w:r>
        <w:rPr>
          <w:szCs w:val="20"/>
        </w:rPr>
        <w:t>.</w:t>
      </w:r>
    </w:p>
  </w:footnote>
  <w:footnote w:id="87">
    <w:p w14:paraId="16DB4768" w14:textId="0022DBBD" w:rsidR="009E62A3" w:rsidRDefault="009E62A3" w:rsidP="002B350E">
      <w:pPr>
        <w:pStyle w:val="FootnoteText"/>
        <w:ind w:left="360"/>
      </w:pPr>
      <w:r>
        <w:rPr>
          <w:rStyle w:val="FootnoteReference"/>
        </w:rPr>
        <w:footnoteRef/>
      </w:r>
      <w:r>
        <w:t xml:space="preserve"> 1929 Geneva Convention I, </w:t>
      </w:r>
      <w:r w:rsidRPr="00BB4910">
        <w:rPr>
          <w:i/>
          <w:iCs/>
          <w:szCs w:val="20"/>
        </w:rPr>
        <w:t>supra</w:t>
      </w:r>
      <w:r w:rsidRPr="00BB4910">
        <w:rPr>
          <w:szCs w:val="20"/>
        </w:rPr>
        <w:t> </w:t>
      </w:r>
      <w:r>
        <w:rPr>
          <w:szCs w:val="20"/>
        </w:rPr>
        <w:t>note 17, at art. 27.</w:t>
      </w:r>
    </w:p>
  </w:footnote>
  <w:footnote w:id="88">
    <w:p w14:paraId="3585DFB8" w14:textId="233C3299" w:rsidR="009E62A3" w:rsidRDefault="009E62A3" w:rsidP="002B350E">
      <w:pPr>
        <w:pStyle w:val="FootnoteText"/>
        <w:ind w:left="360"/>
      </w:pPr>
      <w:r>
        <w:rPr>
          <w:rStyle w:val="FootnoteReference"/>
        </w:rPr>
        <w:footnoteRef/>
      </w:r>
      <w:r>
        <w:t xml:space="preserve"> </w:t>
      </w:r>
      <w:r w:rsidRPr="00CA2EE7">
        <w:rPr>
          <w:i/>
        </w:rPr>
        <w:t>Id</w:t>
      </w:r>
      <w:r>
        <w:t>.</w:t>
      </w:r>
    </w:p>
  </w:footnote>
  <w:footnote w:id="89">
    <w:p w14:paraId="2B165EC9" w14:textId="7320B59E" w:rsidR="009E62A3" w:rsidRDefault="009E62A3" w:rsidP="002B350E">
      <w:pPr>
        <w:pStyle w:val="FootnoteText"/>
        <w:ind w:left="360"/>
      </w:pPr>
      <w:r>
        <w:rPr>
          <w:rStyle w:val="FootnoteReference"/>
        </w:rPr>
        <w:footnoteRef/>
      </w:r>
      <w:r>
        <w:t xml:space="preserve"> </w:t>
      </w:r>
      <w:r w:rsidRPr="00E41CB8">
        <w:rPr>
          <w:i/>
        </w:rPr>
        <w:t>Id</w:t>
      </w:r>
      <w:r>
        <w:t>. at art. 31.</w:t>
      </w:r>
    </w:p>
  </w:footnote>
  <w:footnote w:id="90">
    <w:p w14:paraId="4EA622E1" w14:textId="6D7925E1" w:rsidR="009E62A3" w:rsidRDefault="009E62A3" w:rsidP="002B350E">
      <w:pPr>
        <w:pStyle w:val="FootnoteText"/>
        <w:ind w:left="360"/>
      </w:pPr>
      <w:r>
        <w:rPr>
          <w:rStyle w:val="FootnoteReference"/>
        </w:rPr>
        <w:footnoteRef/>
      </w:r>
      <w:r>
        <w:t xml:space="preserve"> </w:t>
      </w:r>
      <w:r w:rsidRPr="00E41CB8">
        <w:rPr>
          <w:i/>
        </w:rPr>
        <w:t>Id</w:t>
      </w:r>
      <w:r>
        <w:t>. at art. 32.</w:t>
      </w:r>
    </w:p>
  </w:footnote>
  <w:footnote w:id="91">
    <w:p w14:paraId="7B533704" w14:textId="4A5D833C"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t xml:space="preserve">Arbuckle, </w:t>
      </w:r>
      <w:r w:rsidRPr="00BB4910">
        <w:rPr>
          <w:i/>
          <w:iCs/>
          <w:szCs w:val="20"/>
        </w:rPr>
        <w:t>supra</w:t>
      </w:r>
      <w:r w:rsidRPr="00BB4910">
        <w:rPr>
          <w:szCs w:val="20"/>
        </w:rPr>
        <w:t> </w:t>
      </w:r>
      <w:r>
        <w:rPr>
          <w:szCs w:val="20"/>
        </w:rPr>
        <w:t>note 7, at 36.</w:t>
      </w:r>
    </w:p>
  </w:footnote>
  <w:footnote w:id="92">
    <w:p w14:paraId="1ED6918D" w14:textId="4015DBB7" w:rsidR="009E62A3" w:rsidRDefault="009E62A3" w:rsidP="00B113CF">
      <w:pPr>
        <w:pStyle w:val="FootnoteText"/>
        <w:ind w:left="360" w:right="360"/>
        <w:jc w:val="both"/>
      </w:pPr>
      <w:r>
        <w:rPr>
          <w:rStyle w:val="FootnoteReference"/>
        </w:rPr>
        <w:footnoteRef/>
      </w:r>
      <w:r>
        <w:t xml:space="preserve"> </w:t>
      </w:r>
      <w:r w:rsidRPr="00CA2EE7">
        <w:rPr>
          <w:i/>
        </w:rPr>
        <w:t>Id</w:t>
      </w:r>
      <w:r>
        <w:t xml:space="preserve">. at 37; </w:t>
      </w:r>
      <w:r w:rsidRPr="00CA2EE7">
        <w:rPr>
          <w:i/>
        </w:rPr>
        <w:t>1537th Service Unit</w:t>
      </w:r>
      <w:r>
        <w:t xml:space="preserve">, </w:t>
      </w:r>
      <w:r w:rsidRPr="00BB4910">
        <w:rPr>
          <w:i/>
          <w:iCs/>
          <w:szCs w:val="20"/>
        </w:rPr>
        <w:t>supra</w:t>
      </w:r>
      <w:r w:rsidRPr="00BB4910">
        <w:rPr>
          <w:szCs w:val="20"/>
        </w:rPr>
        <w:t> </w:t>
      </w:r>
      <w:r>
        <w:rPr>
          <w:szCs w:val="20"/>
        </w:rPr>
        <w:t xml:space="preserve">note 85, </w:t>
      </w:r>
      <w:r>
        <w:t>at 4.</w:t>
      </w:r>
    </w:p>
  </w:footnote>
  <w:footnote w:id="93">
    <w:p w14:paraId="2BD29901" w14:textId="585292EE" w:rsidR="009E62A3" w:rsidRDefault="009E62A3" w:rsidP="00B113CF">
      <w:pPr>
        <w:pStyle w:val="FootnoteText"/>
        <w:ind w:left="360" w:right="360"/>
        <w:jc w:val="both"/>
      </w:pPr>
      <w:r>
        <w:rPr>
          <w:rStyle w:val="FootnoteReference"/>
        </w:rPr>
        <w:footnoteRef/>
      </w:r>
      <w:r>
        <w:t xml:space="preserve"> </w:t>
      </w:r>
      <w:r w:rsidRPr="00687675">
        <w:rPr>
          <w:szCs w:val="20"/>
        </w:rPr>
        <w:t>Agreement for Civilian Internee and</w:t>
      </w:r>
      <w:r>
        <w:rPr>
          <w:szCs w:val="20"/>
        </w:rPr>
        <w:t>/or Prisoner of War Labor 1</w:t>
      </w:r>
      <w:r w:rsidRPr="00687675">
        <w:rPr>
          <w:szCs w:val="20"/>
        </w:rPr>
        <w:t>, U.S. War Dep’t (n.d.)</w:t>
      </w:r>
      <w:r>
        <w:rPr>
          <w:szCs w:val="20"/>
        </w:rPr>
        <w:t xml:space="preserve">, </w:t>
      </w:r>
      <w:r w:rsidRPr="00E8576F">
        <w:rPr>
          <w:szCs w:val="20"/>
        </w:rPr>
        <w:t>http://goo.gl/73Oxxv</w:t>
      </w:r>
      <w:r w:rsidRPr="00687675">
        <w:rPr>
          <w:szCs w:val="20"/>
        </w:rPr>
        <w:t xml:space="preserve"> (follow “Forms” link, then “Labor Contract”).</w:t>
      </w:r>
    </w:p>
  </w:footnote>
  <w:footnote w:id="94">
    <w:p w14:paraId="444A358F" w14:textId="2321E434" w:rsidR="009E62A3" w:rsidRDefault="009E62A3" w:rsidP="00B113CF">
      <w:pPr>
        <w:pStyle w:val="FootnoteText"/>
        <w:ind w:left="360" w:right="360"/>
        <w:jc w:val="both"/>
      </w:pPr>
      <w:r>
        <w:rPr>
          <w:rStyle w:val="FootnoteReference"/>
        </w:rPr>
        <w:footnoteRef/>
      </w:r>
      <w:r>
        <w:t xml:space="preserve"> </w:t>
      </w:r>
      <w:r w:rsidRPr="00CA2EE7">
        <w:rPr>
          <w:i/>
        </w:rPr>
        <w:t>Id</w:t>
      </w:r>
      <w:r>
        <w:t xml:space="preserve">. </w:t>
      </w:r>
    </w:p>
  </w:footnote>
  <w:footnote w:id="95">
    <w:p w14:paraId="5D9FA725" w14:textId="0D29E86A" w:rsidR="009E62A3" w:rsidRDefault="009E62A3" w:rsidP="00B113CF">
      <w:pPr>
        <w:pStyle w:val="FootnoteText"/>
        <w:ind w:left="360" w:right="360"/>
        <w:jc w:val="both"/>
      </w:pPr>
      <w:r>
        <w:rPr>
          <w:rStyle w:val="FootnoteReference"/>
        </w:rPr>
        <w:footnoteRef/>
      </w:r>
      <w:r>
        <w:t xml:space="preserve"> </w:t>
      </w:r>
      <w:r w:rsidRPr="00CA2EE7">
        <w:rPr>
          <w:i/>
        </w:rPr>
        <w:t>Id</w:t>
      </w:r>
      <w:r>
        <w:t>.</w:t>
      </w:r>
    </w:p>
  </w:footnote>
  <w:footnote w:id="96">
    <w:p w14:paraId="7257DA0A" w14:textId="6A664685" w:rsidR="009E62A3" w:rsidRDefault="009E62A3" w:rsidP="00B113CF">
      <w:pPr>
        <w:pStyle w:val="FootnoteText"/>
        <w:ind w:left="360" w:right="360"/>
        <w:jc w:val="both"/>
      </w:pPr>
      <w:r>
        <w:rPr>
          <w:rStyle w:val="FootnoteReference"/>
        </w:rPr>
        <w:footnoteRef/>
      </w:r>
      <w:r>
        <w:t xml:space="preserve"> </w:t>
      </w:r>
      <w:r w:rsidRPr="00CA2EE7">
        <w:rPr>
          <w:i/>
        </w:rPr>
        <w:t>Id</w:t>
      </w:r>
      <w:r>
        <w:t>. at 1, 2.</w:t>
      </w:r>
    </w:p>
  </w:footnote>
  <w:footnote w:id="97">
    <w:p w14:paraId="4B6F4F03" w14:textId="56D2B6C7" w:rsidR="009E62A3" w:rsidRDefault="009E62A3" w:rsidP="00B113CF">
      <w:pPr>
        <w:pStyle w:val="FootnoteText"/>
        <w:ind w:left="360" w:right="360"/>
        <w:jc w:val="both"/>
      </w:pPr>
      <w:r>
        <w:rPr>
          <w:rStyle w:val="FootnoteReference"/>
        </w:rPr>
        <w:footnoteRef/>
      </w:r>
      <w:r>
        <w:t xml:space="preserve"> </w:t>
      </w:r>
      <w:r w:rsidRPr="00CA2EE7">
        <w:rPr>
          <w:i/>
        </w:rPr>
        <w:t>Id</w:t>
      </w:r>
      <w:r>
        <w:t>. at 1-2.</w:t>
      </w:r>
    </w:p>
  </w:footnote>
  <w:footnote w:id="98">
    <w:p w14:paraId="6C991AB0" w14:textId="114C458F" w:rsidR="009E62A3" w:rsidRDefault="009E62A3" w:rsidP="00B113CF">
      <w:pPr>
        <w:pStyle w:val="FootnoteText"/>
        <w:ind w:left="360" w:right="360"/>
        <w:jc w:val="both"/>
      </w:pPr>
      <w:r>
        <w:rPr>
          <w:rStyle w:val="FootnoteReference"/>
        </w:rPr>
        <w:footnoteRef/>
      </w:r>
      <w:r>
        <w:t xml:space="preserve"> </w:t>
      </w:r>
      <w:r w:rsidRPr="00CA2EE7">
        <w:rPr>
          <w:i/>
        </w:rPr>
        <w:t>Id</w:t>
      </w:r>
      <w:r>
        <w:t>.</w:t>
      </w:r>
    </w:p>
  </w:footnote>
  <w:footnote w:id="99">
    <w:p w14:paraId="3A236DEA" w14:textId="36152E9B" w:rsidR="009E62A3" w:rsidRDefault="009E62A3" w:rsidP="00B113CF">
      <w:pPr>
        <w:pStyle w:val="FootnoteText"/>
        <w:ind w:left="360" w:right="360"/>
        <w:jc w:val="both"/>
      </w:pPr>
      <w:r>
        <w:rPr>
          <w:rStyle w:val="FootnoteReference"/>
        </w:rPr>
        <w:footnoteRef/>
      </w:r>
      <w:r>
        <w:t xml:space="preserve"> </w:t>
      </w:r>
      <w:r w:rsidRPr="00CA2EE7">
        <w:rPr>
          <w:i/>
        </w:rPr>
        <w:t>Id</w:t>
      </w:r>
      <w:r>
        <w:t>.</w:t>
      </w:r>
    </w:p>
  </w:footnote>
  <w:footnote w:id="100">
    <w:p w14:paraId="39016CDE" w14:textId="344EAB49" w:rsidR="009E62A3" w:rsidRDefault="009E62A3" w:rsidP="00B113CF">
      <w:pPr>
        <w:pStyle w:val="FootnoteText"/>
        <w:ind w:left="360" w:right="360"/>
        <w:jc w:val="both"/>
      </w:pPr>
      <w:r>
        <w:rPr>
          <w:rStyle w:val="FootnoteReference"/>
        </w:rPr>
        <w:footnoteRef/>
      </w:r>
      <w:r>
        <w:t xml:space="preserve"> </w:t>
      </w:r>
      <w:r w:rsidRPr="00CA2EE7">
        <w:rPr>
          <w:i/>
        </w:rPr>
        <w:t>Id</w:t>
      </w:r>
      <w:r>
        <w:t>. at 5.</w:t>
      </w:r>
    </w:p>
  </w:footnote>
  <w:footnote w:id="101">
    <w:p w14:paraId="5DA0FB6E" w14:textId="49BA7632" w:rsidR="009E62A3" w:rsidRDefault="009E62A3" w:rsidP="00B113CF">
      <w:pPr>
        <w:pStyle w:val="FootnoteText"/>
        <w:ind w:left="360" w:right="360"/>
        <w:jc w:val="both"/>
      </w:pPr>
      <w:r>
        <w:rPr>
          <w:rStyle w:val="FootnoteReference"/>
        </w:rPr>
        <w:footnoteRef/>
      </w:r>
      <w:r>
        <w:t xml:space="preserve"> </w:t>
      </w:r>
      <w:r w:rsidRPr="00CA2EE7">
        <w:rPr>
          <w:i/>
        </w:rPr>
        <w:t>Id</w:t>
      </w:r>
      <w:r>
        <w:t xml:space="preserve">. </w:t>
      </w:r>
      <w:r w:rsidRPr="0084543A">
        <w:rPr>
          <w:i/>
        </w:rPr>
        <w:t>See also</w:t>
      </w:r>
      <w:r>
        <w:t xml:space="preserve"> Arbuckle, </w:t>
      </w:r>
      <w:r w:rsidRPr="00BB4910">
        <w:rPr>
          <w:i/>
          <w:iCs/>
          <w:szCs w:val="20"/>
        </w:rPr>
        <w:t>supra</w:t>
      </w:r>
      <w:r w:rsidRPr="00BB4910">
        <w:rPr>
          <w:szCs w:val="20"/>
        </w:rPr>
        <w:t> </w:t>
      </w:r>
      <w:r>
        <w:rPr>
          <w:szCs w:val="20"/>
        </w:rPr>
        <w:t>note 7, at 37.</w:t>
      </w:r>
    </w:p>
  </w:footnote>
  <w:footnote w:id="102">
    <w:p w14:paraId="5148FBC8" w14:textId="0F1F1DDB"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t xml:space="preserve">Arbuckle, </w:t>
      </w:r>
      <w:r w:rsidRPr="00BB4910">
        <w:rPr>
          <w:i/>
          <w:iCs/>
          <w:szCs w:val="20"/>
        </w:rPr>
        <w:t>supra</w:t>
      </w:r>
      <w:r w:rsidRPr="00BB4910">
        <w:rPr>
          <w:szCs w:val="20"/>
        </w:rPr>
        <w:t> </w:t>
      </w:r>
      <w:r>
        <w:rPr>
          <w:szCs w:val="20"/>
        </w:rPr>
        <w:t>note 7, at 37.</w:t>
      </w:r>
    </w:p>
  </w:footnote>
  <w:footnote w:id="103">
    <w:p w14:paraId="1F8B725A" w14:textId="5C872F0D" w:rsidR="009E62A3" w:rsidRDefault="009E62A3" w:rsidP="00E32043">
      <w:pPr>
        <w:pStyle w:val="FootnoteText"/>
        <w:ind w:left="360"/>
      </w:pPr>
      <w:r>
        <w:rPr>
          <w:rStyle w:val="FootnoteReference"/>
        </w:rPr>
        <w:footnoteRef/>
      </w:r>
      <w:r>
        <w:t xml:space="preserve"> </w:t>
      </w:r>
      <w:r w:rsidRPr="005340C0">
        <w:rPr>
          <w:szCs w:val="20"/>
        </w:rPr>
        <w:t xml:space="preserve">Thompson, </w:t>
      </w:r>
      <w:r w:rsidRPr="00BB4910">
        <w:rPr>
          <w:i/>
          <w:iCs/>
          <w:szCs w:val="20"/>
        </w:rPr>
        <w:t>supra</w:t>
      </w:r>
      <w:r w:rsidRPr="00BB4910">
        <w:rPr>
          <w:szCs w:val="20"/>
        </w:rPr>
        <w:t> </w:t>
      </w:r>
      <w:r>
        <w:rPr>
          <w:szCs w:val="20"/>
        </w:rPr>
        <w:t xml:space="preserve">note 39, at 162; </w:t>
      </w:r>
      <w:r w:rsidRPr="007A5F1C">
        <w:rPr>
          <w:i/>
          <w:szCs w:val="20"/>
        </w:rPr>
        <w:t>see also Prisoners “Do Bit” for Nazis at Work</w:t>
      </w:r>
      <w:r>
        <w:rPr>
          <w:szCs w:val="20"/>
        </w:rPr>
        <w:t xml:space="preserve">, </w:t>
      </w:r>
      <w:r w:rsidRPr="007A5F1C">
        <w:rPr>
          <w:smallCaps/>
          <w:szCs w:val="20"/>
        </w:rPr>
        <w:t>Indpls Star</w:t>
      </w:r>
      <w:r>
        <w:rPr>
          <w:szCs w:val="20"/>
        </w:rPr>
        <w:t xml:space="preserve">, Sept . 29, 1943, at 5, </w:t>
      </w:r>
      <w:r>
        <w:rPr>
          <w:i/>
        </w:rPr>
        <w:t>microfilm scan available</w:t>
      </w:r>
      <w:r w:rsidRPr="007A5F1C">
        <w:rPr>
          <w:i/>
          <w:szCs w:val="20"/>
        </w:rPr>
        <w:t xml:space="preserve"> at</w:t>
      </w:r>
      <w:r>
        <w:rPr>
          <w:szCs w:val="20"/>
        </w:rPr>
        <w:t xml:space="preserve"> </w:t>
      </w:r>
      <w:r w:rsidRPr="00E32043">
        <w:rPr>
          <w:szCs w:val="20"/>
        </w:rPr>
        <w:t>https://goo.gl/AFuFnZ</w:t>
      </w:r>
      <w:r>
        <w:rPr>
          <w:szCs w:val="20"/>
        </w:rPr>
        <w:t xml:space="preserve"> (describing Nazi vandalism at canning factories and the protests of POW labor by the United Cannery, Agricultural, Packing, and Allied Workers of America).</w:t>
      </w:r>
    </w:p>
  </w:footnote>
  <w:footnote w:id="104">
    <w:p w14:paraId="27226116" w14:textId="708AFEB3" w:rsidR="009E62A3" w:rsidRDefault="009E62A3" w:rsidP="00234736">
      <w:pPr>
        <w:pStyle w:val="FootnoteText"/>
        <w:ind w:left="360"/>
      </w:pPr>
      <w:r>
        <w:rPr>
          <w:rStyle w:val="FootnoteReference"/>
        </w:rPr>
        <w:footnoteRef/>
      </w:r>
      <w:r>
        <w:t xml:space="preserve"> </w:t>
      </w:r>
      <w:r w:rsidRPr="005340C0">
        <w:rPr>
          <w:szCs w:val="20"/>
        </w:rPr>
        <w:t xml:space="preserve">Thompson, </w:t>
      </w:r>
      <w:r w:rsidRPr="00BB4910">
        <w:rPr>
          <w:i/>
          <w:iCs/>
          <w:szCs w:val="20"/>
        </w:rPr>
        <w:t>supra</w:t>
      </w:r>
      <w:r w:rsidRPr="00BB4910">
        <w:rPr>
          <w:szCs w:val="20"/>
        </w:rPr>
        <w:t> </w:t>
      </w:r>
      <w:r>
        <w:rPr>
          <w:szCs w:val="20"/>
        </w:rPr>
        <w:t>note 39, at 162</w:t>
      </w:r>
      <w:r w:rsidRPr="005340C0">
        <w:rPr>
          <w:szCs w:val="20"/>
        </w:rPr>
        <w:t>.</w:t>
      </w:r>
    </w:p>
  </w:footnote>
  <w:footnote w:id="105">
    <w:p w14:paraId="6D57BDE7" w14:textId="478515F5" w:rsidR="009E62A3" w:rsidRDefault="009E62A3" w:rsidP="00234736">
      <w:pPr>
        <w:pStyle w:val="FootnoteText"/>
        <w:ind w:left="360"/>
      </w:pPr>
      <w:r>
        <w:rPr>
          <w:rStyle w:val="FootnoteReference"/>
        </w:rPr>
        <w:footnoteRef/>
      </w:r>
      <w:r>
        <w:t xml:space="preserve"> </w:t>
      </w:r>
      <w:r>
        <w:rPr>
          <w:szCs w:val="20"/>
        </w:rPr>
        <w:t>Cook</w:t>
      </w:r>
      <w:r w:rsidRPr="005340C0">
        <w:rPr>
          <w:szCs w:val="20"/>
        </w:rPr>
        <w:t xml:space="preserve">, </w:t>
      </w:r>
      <w:r w:rsidRPr="00BB4910">
        <w:rPr>
          <w:i/>
          <w:iCs/>
          <w:szCs w:val="20"/>
        </w:rPr>
        <w:t>supra</w:t>
      </w:r>
      <w:r w:rsidRPr="00BB4910">
        <w:rPr>
          <w:szCs w:val="20"/>
        </w:rPr>
        <w:t> </w:t>
      </w:r>
      <w:r>
        <w:rPr>
          <w:szCs w:val="20"/>
        </w:rPr>
        <w:t>note 8,</w:t>
      </w:r>
      <w:r w:rsidRPr="00BB4910">
        <w:rPr>
          <w:szCs w:val="20"/>
        </w:rPr>
        <w:t xml:space="preserve"> at</w:t>
      </w:r>
      <w:r>
        <w:rPr>
          <w:szCs w:val="20"/>
        </w:rPr>
        <w:t xml:space="preserve"> *7.</w:t>
      </w:r>
    </w:p>
  </w:footnote>
  <w:footnote w:id="106">
    <w:p w14:paraId="62AF742A" w14:textId="538D86F2" w:rsidR="009E62A3" w:rsidRDefault="009E62A3" w:rsidP="00234736">
      <w:pPr>
        <w:pStyle w:val="FootnoteText"/>
        <w:ind w:left="360"/>
      </w:pPr>
      <w:r>
        <w:rPr>
          <w:rStyle w:val="FootnoteReference"/>
        </w:rPr>
        <w:footnoteRef/>
      </w:r>
      <w:r>
        <w:t xml:space="preserve"> </w:t>
      </w:r>
      <w:r w:rsidRPr="00CA2EE7">
        <w:rPr>
          <w:i/>
        </w:rPr>
        <w:t>Id</w:t>
      </w:r>
      <w:r>
        <w:t>.</w:t>
      </w:r>
    </w:p>
  </w:footnote>
  <w:footnote w:id="107">
    <w:p w14:paraId="537E765E" w14:textId="777ECD2C" w:rsidR="009E62A3" w:rsidRDefault="009E62A3" w:rsidP="00234736">
      <w:pPr>
        <w:pStyle w:val="FootnoteText"/>
        <w:ind w:left="360"/>
      </w:pPr>
      <w:r>
        <w:rPr>
          <w:rStyle w:val="FootnoteReference"/>
        </w:rPr>
        <w:footnoteRef/>
      </w:r>
      <w:r>
        <w:t xml:space="preserve"> </w:t>
      </w:r>
      <w:r w:rsidRPr="00CA2EE7">
        <w:rPr>
          <w:i/>
        </w:rPr>
        <w:t>Id</w:t>
      </w:r>
      <w:r>
        <w:t>.</w:t>
      </w:r>
    </w:p>
  </w:footnote>
  <w:footnote w:id="108">
    <w:p w14:paraId="42A09367" w14:textId="6D59B9D8" w:rsidR="009E62A3" w:rsidRDefault="009E62A3" w:rsidP="00B113CF">
      <w:pPr>
        <w:pStyle w:val="FootnoteText"/>
        <w:ind w:left="360" w:right="360"/>
        <w:jc w:val="both"/>
      </w:pPr>
      <w:r>
        <w:rPr>
          <w:rStyle w:val="FootnoteReference"/>
        </w:rPr>
        <w:footnoteRef/>
      </w:r>
      <w:r>
        <w:t xml:space="preserve"> 1929 Geneva Convention I, art. 32.</w:t>
      </w:r>
    </w:p>
  </w:footnote>
  <w:footnote w:id="109">
    <w:p w14:paraId="51893705" w14:textId="2C3A7046" w:rsidR="009E62A3" w:rsidRDefault="009E62A3" w:rsidP="00B113CF">
      <w:pPr>
        <w:pStyle w:val="FootnoteText"/>
        <w:ind w:left="360" w:right="360"/>
        <w:jc w:val="both"/>
      </w:pPr>
      <w:r>
        <w:rPr>
          <w:rStyle w:val="FootnoteReference"/>
        </w:rPr>
        <w:footnoteRef/>
      </w:r>
      <w:r>
        <w:t xml:space="preserve"> </w:t>
      </w:r>
      <w:r w:rsidRPr="00CA2EE7">
        <w:rPr>
          <w:i/>
        </w:rPr>
        <w:t>Id</w:t>
      </w:r>
      <w:r>
        <w:t>. art. 55.</w:t>
      </w:r>
    </w:p>
  </w:footnote>
  <w:footnote w:id="110">
    <w:p w14:paraId="735999EE" w14:textId="0D6EB4E0" w:rsidR="009E62A3" w:rsidRDefault="009E62A3" w:rsidP="00B113CF">
      <w:pPr>
        <w:pStyle w:val="FootnoteText"/>
        <w:ind w:left="360" w:right="360"/>
        <w:jc w:val="both"/>
      </w:pPr>
      <w:r>
        <w:rPr>
          <w:rStyle w:val="FootnoteReference"/>
        </w:rPr>
        <w:footnoteRef/>
      </w:r>
      <w:r>
        <w:t xml:space="preserve"> </w:t>
      </w:r>
      <w:r w:rsidRPr="00687675">
        <w:rPr>
          <w:szCs w:val="20"/>
        </w:rPr>
        <w:t xml:space="preserve">Memorandum from </w:t>
      </w:r>
      <w:r>
        <w:rPr>
          <w:szCs w:val="20"/>
        </w:rPr>
        <w:t>James Alexander Ulio, Adjutant General, U.S. Army, to Commanding Generals, First, Second, Third, Fourth, Fifth, Sixth, Seventh, Eighth, and Ninth Service Commands (Oct. 27, 1943</w:t>
      </w:r>
      <w:r w:rsidRPr="00687675">
        <w:rPr>
          <w:szCs w:val="20"/>
        </w:rPr>
        <w:t>)</w:t>
      </w:r>
      <w:r>
        <w:rPr>
          <w:szCs w:val="20"/>
        </w:rPr>
        <w:t xml:space="preserve">, </w:t>
      </w:r>
      <w:r w:rsidRPr="00A07BC4">
        <w:rPr>
          <w:i/>
          <w:szCs w:val="20"/>
        </w:rPr>
        <w:t>available at</w:t>
      </w:r>
      <w:r>
        <w:rPr>
          <w:szCs w:val="20"/>
        </w:rPr>
        <w:t xml:space="preserve"> </w:t>
      </w:r>
      <w:r w:rsidRPr="00A07BC4">
        <w:rPr>
          <w:szCs w:val="20"/>
        </w:rPr>
        <w:t>http://server16040.contentdm.oclc.org/u?/p4013coll8,2126</w:t>
      </w:r>
      <w:r>
        <w:rPr>
          <w:szCs w:val="20"/>
        </w:rPr>
        <w:t>.</w:t>
      </w:r>
    </w:p>
  </w:footnote>
  <w:footnote w:id="111">
    <w:p w14:paraId="3DBE93ED" w14:textId="2EA97293" w:rsidR="009E62A3" w:rsidRDefault="009E62A3" w:rsidP="00B113CF">
      <w:pPr>
        <w:pStyle w:val="FootnoteText"/>
        <w:ind w:left="360" w:right="360"/>
        <w:jc w:val="both"/>
      </w:pPr>
      <w:r>
        <w:rPr>
          <w:rStyle w:val="FootnoteReference"/>
        </w:rPr>
        <w:footnoteRef/>
      </w:r>
      <w:r>
        <w:t xml:space="preserve"> </w:t>
      </w:r>
      <w:r w:rsidRPr="00CA2EE7">
        <w:rPr>
          <w:i/>
        </w:rPr>
        <w:t>Id</w:t>
      </w:r>
      <w:r>
        <w:t>. at 1.</w:t>
      </w:r>
    </w:p>
  </w:footnote>
  <w:footnote w:id="112">
    <w:p w14:paraId="526BC185" w14:textId="6A3BC503" w:rsidR="009E62A3" w:rsidRDefault="009E62A3" w:rsidP="00B113CF">
      <w:pPr>
        <w:pStyle w:val="FootnoteText"/>
        <w:ind w:left="360" w:right="360"/>
        <w:jc w:val="both"/>
      </w:pPr>
      <w:r>
        <w:rPr>
          <w:rStyle w:val="FootnoteReference"/>
        </w:rPr>
        <w:footnoteRef/>
      </w:r>
      <w:r>
        <w:t xml:space="preserve"> </w:t>
      </w:r>
      <w:r w:rsidRPr="00CA2EE7">
        <w:rPr>
          <w:i/>
        </w:rPr>
        <w:t>Id</w:t>
      </w:r>
      <w:r>
        <w:t>.</w:t>
      </w:r>
    </w:p>
  </w:footnote>
  <w:footnote w:id="113">
    <w:p w14:paraId="1EF88FAE" w14:textId="1C33A53D" w:rsidR="009E62A3" w:rsidRPr="005340C0" w:rsidRDefault="009E62A3" w:rsidP="00087594">
      <w:pPr>
        <w:pStyle w:val="FootnoteText"/>
        <w:ind w:left="360" w:right="360"/>
        <w:jc w:val="both"/>
        <w:rPr>
          <w:szCs w:val="20"/>
        </w:rPr>
      </w:pPr>
      <w:r w:rsidRPr="005340C0">
        <w:rPr>
          <w:rStyle w:val="FootnoteReference"/>
          <w:szCs w:val="20"/>
        </w:rPr>
        <w:footnoteRef/>
      </w:r>
      <w:r w:rsidRPr="005340C0">
        <w:rPr>
          <w:szCs w:val="20"/>
        </w:rPr>
        <w:t xml:space="preserve"> </w:t>
      </w:r>
      <w:r w:rsidRPr="008D554C">
        <w:rPr>
          <w:smallCaps/>
          <w:szCs w:val="20"/>
        </w:rPr>
        <w:t>H. Comm. Military Affairs, Investigations of the Nat’l War Effort</w:t>
      </w:r>
      <w:r>
        <w:rPr>
          <w:szCs w:val="20"/>
        </w:rPr>
        <w:t xml:space="preserve">, </w:t>
      </w:r>
      <w:r w:rsidRPr="00A8086D">
        <w:rPr>
          <w:smallCaps/>
          <w:szCs w:val="20"/>
        </w:rPr>
        <w:t xml:space="preserve">H.R. Rep. No. </w:t>
      </w:r>
      <w:r>
        <w:rPr>
          <w:szCs w:val="20"/>
        </w:rPr>
        <w:t>78-1992, at 12 (1944)</w:t>
      </w:r>
      <w:r w:rsidRPr="005340C0">
        <w:rPr>
          <w:szCs w:val="20"/>
        </w:rPr>
        <w:t>.</w:t>
      </w:r>
      <w:r>
        <w:rPr>
          <w:szCs w:val="20"/>
        </w:rPr>
        <w:t xml:space="preserve"> </w:t>
      </w:r>
    </w:p>
  </w:footnote>
  <w:footnote w:id="114">
    <w:p w14:paraId="4C412FE1" w14:textId="7B2EBA70"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5340C0">
        <w:rPr>
          <w:i/>
          <w:szCs w:val="20"/>
        </w:rPr>
        <w:t>War Prisoners at Windfall Refuse to Work</w:t>
      </w:r>
      <w:r w:rsidRPr="005340C0">
        <w:rPr>
          <w:szCs w:val="20"/>
        </w:rPr>
        <w:t xml:space="preserve">, </w:t>
      </w:r>
      <w:r w:rsidRPr="005219E0">
        <w:rPr>
          <w:smallCaps/>
          <w:szCs w:val="20"/>
        </w:rPr>
        <w:t>Tipton Trib</w:t>
      </w:r>
      <w:r>
        <w:rPr>
          <w:szCs w:val="20"/>
        </w:rPr>
        <w:t xml:space="preserve">., Sep. 15, 1944, </w:t>
      </w:r>
      <w:r w:rsidRPr="007D2764">
        <w:rPr>
          <w:i/>
          <w:szCs w:val="20"/>
        </w:rPr>
        <w:t>digitized at</w:t>
      </w:r>
      <w:r>
        <w:rPr>
          <w:szCs w:val="20"/>
        </w:rPr>
        <w:t xml:space="preserve"> </w:t>
      </w:r>
      <w:r w:rsidRPr="007D2764">
        <w:rPr>
          <w:szCs w:val="20"/>
        </w:rPr>
        <w:t>https://goo.gl/NBreG3</w:t>
      </w:r>
      <w:r>
        <w:rPr>
          <w:szCs w:val="20"/>
        </w:rPr>
        <w:t>.</w:t>
      </w:r>
    </w:p>
  </w:footnote>
  <w:footnote w:id="115">
    <w:p w14:paraId="1CCB5823" w14:textId="4E2F924F"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A8086D">
        <w:rPr>
          <w:smallCaps/>
          <w:szCs w:val="20"/>
        </w:rPr>
        <w:t xml:space="preserve">H.R. Rep. No. </w:t>
      </w:r>
      <w:r>
        <w:rPr>
          <w:szCs w:val="20"/>
        </w:rPr>
        <w:t xml:space="preserve">78-1992, </w:t>
      </w:r>
      <w:r w:rsidRPr="00BB4910">
        <w:rPr>
          <w:i/>
          <w:iCs/>
          <w:szCs w:val="20"/>
        </w:rPr>
        <w:t>supra</w:t>
      </w:r>
      <w:r w:rsidRPr="00BB4910">
        <w:rPr>
          <w:szCs w:val="20"/>
        </w:rPr>
        <w:t> </w:t>
      </w:r>
      <w:r>
        <w:rPr>
          <w:szCs w:val="20"/>
        </w:rPr>
        <w:t>note 112,</w:t>
      </w:r>
      <w:r w:rsidRPr="00BB4910">
        <w:rPr>
          <w:szCs w:val="20"/>
        </w:rPr>
        <w:t xml:space="preserve"> </w:t>
      </w:r>
      <w:r>
        <w:rPr>
          <w:szCs w:val="20"/>
        </w:rPr>
        <w:t>at 14.</w:t>
      </w:r>
    </w:p>
  </w:footnote>
  <w:footnote w:id="116">
    <w:p w14:paraId="4000F834" w14:textId="31EBE46A"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smallCaps/>
          <w:szCs w:val="20"/>
        </w:rPr>
        <w:t xml:space="preserve">Krammer, </w:t>
      </w:r>
      <w:r w:rsidRPr="00BB4910">
        <w:rPr>
          <w:i/>
          <w:iCs/>
          <w:szCs w:val="20"/>
        </w:rPr>
        <w:t>supra</w:t>
      </w:r>
      <w:r w:rsidRPr="00BB4910">
        <w:rPr>
          <w:szCs w:val="20"/>
        </w:rPr>
        <w:t> </w:t>
      </w:r>
      <w:r>
        <w:rPr>
          <w:szCs w:val="20"/>
        </w:rPr>
        <w:t>note 24,</w:t>
      </w:r>
      <w:r w:rsidRPr="00BB4910">
        <w:rPr>
          <w:szCs w:val="20"/>
        </w:rPr>
        <w:t xml:space="preserve"> at</w:t>
      </w:r>
      <w:r>
        <w:rPr>
          <w:szCs w:val="20"/>
        </w:rPr>
        <w:t xml:space="preserve"> 152</w:t>
      </w:r>
      <w:r w:rsidRPr="005340C0">
        <w:rPr>
          <w:szCs w:val="20"/>
        </w:rPr>
        <w:t>.</w:t>
      </w:r>
    </w:p>
  </w:footnote>
  <w:footnote w:id="117">
    <w:p w14:paraId="5FA4DCEC" w14:textId="015BA9D2" w:rsidR="009E62A3" w:rsidRDefault="009E62A3" w:rsidP="00B113CF">
      <w:pPr>
        <w:pStyle w:val="FootnoteText"/>
        <w:ind w:left="360" w:right="360"/>
        <w:jc w:val="both"/>
      </w:pPr>
      <w:r>
        <w:rPr>
          <w:rStyle w:val="FootnoteReference"/>
        </w:rPr>
        <w:footnoteRef/>
      </w:r>
      <w:r>
        <w:t xml:space="preserve"> Robert H. Bailey, </w:t>
      </w:r>
      <w:r w:rsidRPr="00363D73">
        <w:rPr>
          <w:i/>
        </w:rPr>
        <w:t>German POWs: Coming Soon to a Town Near You</w:t>
      </w:r>
      <w:r>
        <w:t xml:space="preserve">, </w:t>
      </w:r>
      <w:r w:rsidRPr="00363D73">
        <w:rPr>
          <w:smallCaps/>
          <w:szCs w:val="20"/>
        </w:rPr>
        <w:t>HistoryNet</w:t>
      </w:r>
      <w:r>
        <w:t xml:space="preserve"> (last visited Aug. 12, 2015), </w:t>
      </w:r>
      <w:r w:rsidRPr="00363D73">
        <w:t>http://www.historynet.com/german-pows-coming-soon-to-a-town-near-you.htm</w:t>
      </w:r>
      <w:r>
        <w:t>.</w:t>
      </w:r>
    </w:p>
  </w:footnote>
  <w:footnote w:id="118">
    <w:p w14:paraId="194F3190" w14:textId="029E8F62" w:rsidR="009E62A3" w:rsidRDefault="009E62A3" w:rsidP="00B113CF">
      <w:pPr>
        <w:pStyle w:val="FootnoteText"/>
        <w:ind w:left="360" w:right="360"/>
        <w:jc w:val="both"/>
      </w:pPr>
      <w:r>
        <w:rPr>
          <w:rStyle w:val="FootnoteReference"/>
        </w:rPr>
        <w:footnoteRef/>
      </w:r>
      <w:r>
        <w:rPr>
          <w:i/>
        </w:rPr>
        <w:t xml:space="preserve"> </w:t>
      </w:r>
      <w:r w:rsidRPr="00DF00FE">
        <w:rPr>
          <w:i/>
        </w:rPr>
        <w:t>Roster of POW Internees at Camp Atterbury</w:t>
      </w:r>
      <w:r>
        <w:t xml:space="preserve">, </w:t>
      </w:r>
      <w:r w:rsidRPr="006F649C">
        <w:rPr>
          <w:smallCaps/>
          <w:szCs w:val="20"/>
        </w:rPr>
        <w:t>IndianaMilitary.org</w:t>
      </w:r>
      <w:r>
        <w:t xml:space="preserve">, </w:t>
      </w:r>
      <w:r w:rsidRPr="00E8576F">
        <w:t xml:space="preserve">https://goo.gl/wz5bef </w:t>
      </w:r>
      <w:r>
        <w:t>(last visited Aug. 15, 2015).</w:t>
      </w:r>
    </w:p>
  </w:footnote>
  <w:footnote w:id="119">
    <w:p w14:paraId="276C7ACD" w14:textId="1B0EC3DC" w:rsidR="009E62A3" w:rsidRDefault="009E62A3" w:rsidP="00B113CF">
      <w:pPr>
        <w:pStyle w:val="FootnoteText"/>
        <w:ind w:left="360" w:right="360"/>
        <w:jc w:val="both"/>
      </w:pPr>
      <w:r>
        <w:rPr>
          <w:rStyle w:val="FootnoteReference"/>
        </w:rPr>
        <w:footnoteRef/>
      </w:r>
      <w:r>
        <w:t xml:space="preserve"> </w:t>
      </w:r>
      <w:r w:rsidRPr="00DF00FE">
        <w:rPr>
          <w:i/>
        </w:rPr>
        <w:t>Id</w:t>
      </w:r>
      <w:r>
        <w:t>.</w:t>
      </w:r>
    </w:p>
  </w:footnote>
  <w:footnote w:id="120">
    <w:p w14:paraId="01B636C7" w14:textId="6CBE16E2" w:rsidR="009E62A3" w:rsidRPr="005340C0" w:rsidRDefault="009E62A3" w:rsidP="00B113CF">
      <w:pPr>
        <w:pStyle w:val="FootnoteText"/>
        <w:ind w:left="360" w:right="360"/>
        <w:jc w:val="both"/>
        <w:rPr>
          <w:szCs w:val="20"/>
        </w:rPr>
      </w:pPr>
      <w:r w:rsidRPr="005340C0">
        <w:rPr>
          <w:rStyle w:val="FootnoteReference"/>
          <w:szCs w:val="20"/>
        </w:rPr>
        <w:footnoteRef/>
      </w:r>
      <w:r>
        <w:rPr>
          <w:szCs w:val="20"/>
        </w:rPr>
        <w:t xml:space="preserve"> </w:t>
      </w:r>
      <w:r w:rsidRPr="00A8086D">
        <w:rPr>
          <w:smallCaps/>
          <w:szCs w:val="20"/>
        </w:rPr>
        <w:t xml:space="preserve">H.R. Rep. No. </w:t>
      </w:r>
      <w:r>
        <w:rPr>
          <w:szCs w:val="20"/>
        </w:rPr>
        <w:t xml:space="preserve">78-1992, </w:t>
      </w:r>
      <w:r w:rsidRPr="00BB4910">
        <w:rPr>
          <w:i/>
          <w:iCs/>
          <w:szCs w:val="20"/>
        </w:rPr>
        <w:t>supra</w:t>
      </w:r>
      <w:r w:rsidRPr="00BB4910">
        <w:rPr>
          <w:szCs w:val="20"/>
        </w:rPr>
        <w:t> </w:t>
      </w:r>
      <w:r>
        <w:rPr>
          <w:szCs w:val="20"/>
        </w:rPr>
        <w:t>note 112,</w:t>
      </w:r>
      <w:r w:rsidRPr="00BB4910">
        <w:rPr>
          <w:szCs w:val="20"/>
        </w:rPr>
        <w:t xml:space="preserve"> </w:t>
      </w:r>
      <w:r>
        <w:rPr>
          <w:szCs w:val="20"/>
        </w:rPr>
        <w:t>at 14.</w:t>
      </w:r>
    </w:p>
  </w:footnote>
  <w:footnote w:id="121">
    <w:p w14:paraId="766F8F8D" w14:textId="300FD948"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smallCaps/>
          <w:szCs w:val="20"/>
        </w:rPr>
        <w:t xml:space="preserve">Krammer, </w:t>
      </w:r>
      <w:r w:rsidRPr="00BB4910">
        <w:rPr>
          <w:i/>
          <w:iCs/>
          <w:szCs w:val="20"/>
        </w:rPr>
        <w:t>supra</w:t>
      </w:r>
      <w:r w:rsidRPr="00BB4910">
        <w:rPr>
          <w:szCs w:val="20"/>
        </w:rPr>
        <w:t> </w:t>
      </w:r>
      <w:r>
        <w:rPr>
          <w:szCs w:val="20"/>
        </w:rPr>
        <w:t>note 24,</w:t>
      </w:r>
      <w:r w:rsidRPr="00BB4910">
        <w:rPr>
          <w:szCs w:val="20"/>
        </w:rPr>
        <w:t xml:space="preserve"> at</w:t>
      </w:r>
      <w:r>
        <w:rPr>
          <w:szCs w:val="20"/>
        </w:rPr>
        <w:t xml:space="preserve"> </w:t>
      </w:r>
      <w:r w:rsidRPr="005340C0">
        <w:rPr>
          <w:szCs w:val="20"/>
        </w:rPr>
        <w:t>132.</w:t>
      </w:r>
    </w:p>
  </w:footnote>
  <w:footnote w:id="122">
    <w:p w14:paraId="691E56EF" w14:textId="7805F294"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7F7ED7">
        <w:rPr>
          <w:i/>
          <w:szCs w:val="20"/>
        </w:rPr>
        <w:t>Detective Nabs Nazi Prisoners</w:t>
      </w:r>
      <w:r>
        <w:rPr>
          <w:szCs w:val="20"/>
        </w:rPr>
        <w:t>,</w:t>
      </w:r>
      <w:r w:rsidRPr="005219E0">
        <w:rPr>
          <w:szCs w:val="20"/>
        </w:rPr>
        <w:t xml:space="preserve"> </w:t>
      </w:r>
      <w:r w:rsidRPr="005219E0">
        <w:rPr>
          <w:smallCaps/>
          <w:szCs w:val="20"/>
        </w:rPr>
        <w:t>Indpls Star</w:t>
      </w:r>
      <w:r w:rsidRPr="005219E0">
        <w:rPr>
          <w:szCs w:val="20"/>
        </w:rPr>
        <w:t>, Oct. 3, 1943, at 1</w:t>
      </w:r>
      <w:r>
        <w:rPr>
          <w:szCs w:val="20"/>
        </w:rPr>
        <w:t xml:space="preserve">, </w:t>
      </w:r>
      <w:r>
        <w:rPr>
          <w:i/>
        </w:rPr>
        <w:t>microfilm scan available</w:t>
      </w:r>
      <w:r w:rsidRPr="007A5F1C">
        <w:rPr>
          <w:i/>
        </w:rPr>
        <w:t xml:space="preserve"> at</w:t>
      </w:r>
      <w:r>
        <w:t xml:space="preserve"> </w:t>
      </w:r>
      <w:r w:rsidRPr="00E8576F">
        <w:rPr>
          <w:szCs w:val="20"/>
        </w:rPr>
        <w:t>https://goo.gl/R1Cs20</w:t>
      </w:r>
      <w:r>
        <w:rPr>
          <w:szCs w:val="20"/>
        </w:rPr>
        <w:t>.</w:t>
      </w:r>
    </w:p>
  </w:footnote>
  <w:footnote w:id="123">
    <w:p w14:paraId="1FD5A074" w14:textId="01E36709"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Thompson, </w:t>
      </w:r>
      <w:r w:rsidRPr="00BB4910">
        <w:rPr>
          <w:i/>
          <w:iCs/>
          <w:szCs w:val="20"/>
        </w:rPr>
        <w:t>supra</w:t>
      </w:r>
      <w:r w:rsidRPr="00BB4910">
        <w:rPr>
          <w:szCs w:val="20"/>
        </w:rPr>
        <w:t> </w:t>
      </w:r>
      <w:r>
        <w:rPr>
          <w:szCs w:val="20"/>
        </w:rPr>
        <w:t xml:space="preserve">note 39, </w:t>
      </w:r>
      <w:r w:rsidRPr="005340C0">
        <w:rPr>
          <w:szCs w:val="20"/>
        </w:rPr>
        <w:t>at 179.</w:t>
      </w:r>
    </w:p>
  </w:footnote>
  <w:footnote w:id="124">
    <w:p w14:paraId="00673A21" w14:textId="4E715627" w:rsidR="009E62A3" w:rsidRDefault="009E62A3" w:rsidP="00E8576F">
      <w:pPr>
        <w:pStyle w:val="FootnoteText"/>
        <w:ind w:left="360" w:right="360"/>
        <w:jc w:val="both"/>
      </w:pPr>
      <w:r>
        <w:rPr>
          <w:rStyle w:val="FootnoteReference"/>
        </w:rPr>
        <w:footnoteRef/>
      </w:r>
      <w:r>
        <w:t xml:space="preserve"> </w:t>
      </w:r>
      <w:r>
        <w:rPr>
          <w:szCs w:val="20"/>
        </w:rPr>
        <w:t xml:space="preserve">Inspection Report on Camp Atterbury </w:t>
      </w:r>
      <w:r w:rsidRPr="008D554C">
        <w:rPr>
          <w:szCs w:val="20"/>
        </w:rPr>
        <w:t>by Dr. Benjamin Spiro, Le</w:t>
      </w:r>
      <w:r>
        <w:rPr>
          <w:szCs w:val="20"/>
        </w:rPr>
        <w:t>gation of Switzerland, Dep’t of Italian Interests</w:t>
      </w:r>
      <w:r w:rsidRPr="008D554C">
        <w:rPr>
          <w:szCs w:val="20"/>
        </w:rPr>
        <w:t xml:space="preserve"> (</w:t>
      </w:r>
      <w:r>
        <w:rPr>
          <w:szCs w:val="20"/>
        </w:rPr>
        <w:t>Feb. 8</w:t>
      </w:r>
      <w:r w:rsidRPr="008D554C">
        <w:rPr>
          <w:szCs w:val="20"/>
        </w:rPr>
        <w:t xml:space="preserve">, 1944), </w:t>
      </w:r>
      <w:r w:rsidRPr="00E8576F">
        <w:rPr>
          <w:szCs w:val="20"/>
        </w:rPr>
        <w:t>http://goo.gl/73Oxxv</w:t>
      </w:r>
      <w:r w:rsidRPr="008D554C">
        <w:rPr>
          <w:szCs w:val="20"/>
        </w:rPr>
        <w:t xml:space="preserve"> (</w:t>
      </w:r>
      <w:r w:rsidRPr="00687675">
        <w:rPr>
          <w:szCs w:val="20"/>
        </w:rPr>
        <w:t>follow “</w:t>
      </w:r>
      <w:r>
        <w:rPr>
          <w:szCs w:val="20"/>
        </w:rPr>
        <w:t>Inspections</w:t>
      </w:r>
      <w:r w:rsidRPr="00687675">
        <w:rPr>
          <w:szCs w:val="20"/>
        </w:rPr>
        <w:t>” link, then “</w:t>
      </w:r>
      <w:r>
        <w:rPr>
          <w:szCs w:val="20"/>
        </w:rPr>
        <w:t>Italian POWs</w:t>
      </w:r>
      <w:r w:rsidRPr="00687675">
        <w:rPr>
          <w:szCs w:val="20"/>
        </w:rPr>
        <w:t>”</w:t>
      </w:r>
      <w:r w:rsidRPr="008D554C">
        <w:rPr>
          <w:szCs w:val="20"/>
        </w:rPr>
        <w:t>)</w:t>
      </w:r>
      <w:r>
        <w:rPr>
          <w:szCs w:val="20"/>
        </w:rPr>
        <w:t>.</w:t>
      </w:r>
    </w:p>
  </w:footnote>
  <w:footnote w:id="125">
    <w:p w14:paraId="29D61B18" w14:textId="274360F9" w:rsidR="009E62A3" w:rsidRDefault="009E62A3" w:rsidP="00B113CF">
      <w:pPr>
        <w:pStyle w:val="FootnoteText"/>
        <w:ind w:left="360" w:right="360"/>
        <w:jc w:val="both"/>
      </w:pPr>
      <w:r>
        <w:rPr>
          <w:rStyle w:val="FootnoteReference"/>
        </w:rPr>
        <w:footnoteRef/>
      </w:r>
      <w:r>
        <w:t xml:space="preserve"> </w:t>
      </w:r>
      <w:r w:rsidRPr="00DF00FE">
        <w:rPr>
          <w:i/>
        </w:rPr>
        <w:t>Id</w:t>
      </w:r>
      <w:r>
        <w:t>.</w:t>
      </w:r>
    </w:p>
  </w:footnote>
  <w:footnote w:id="126">
    <w:p w14:paraId="6F147136" w14:textId="43F46C0B" w:rsidR="009E62A3" w:rsidRDefault="009E62A3" w:rsidP="00B113CF">
      <w:pPr>
        <w:pStyle w:val="FootnoteText"/>
        <w:ind w:left="360" w:right="360"/>
        <w:jc w:val="both"/>
      </w:pPr>
      <w:r>
        <w:rPr>
          <w:rStyle w:val="FootnoteReference"/>
        </w:rPr>
        <w:footnoteRef/>
      </w:r>
      <w:r>
        <w:t xml:space="preserve"> </w:t>
      </w:r>
      <w:r>
        <w:rPr>
          <w:szCs w:val="20"/>
        </w:rPr>
        <w:t xml:space="preserve">Inspection Report on Camp Atterbury </w:t>
      </w:r>
      <w:r w:rsidRPr="008D554C">
        <w:rPr>
          <w:szCs w:val="20"/>
        </w:rPr>
        <w:t xml:space="preserve">by </w:t>
      </w:r>
      <w:r w:rsidRPr="00413CFD">
        <w:rPr>
          <w:szCs w:val="20"/>
        </w:rPr>
        <w:t>Charles C. Eberhardt</w:t>
      </w:r>
      <w:r w:rsidRPr="008D554C">
        <w:rPr>
          <w:szCs w:val="20"/>
        </w:rPr>
        <w:t xml:space="preserve">, </w:t>
      </w:r>
      <w:r>
        <w:rPr>
          <w:szCs w:val="20"/>
        </w:rPr>
        <w:t>U.S. Dep’t of State</w:t>
      </w:r>
      <w:r w:rsidRPr="008D554C">
        <w:rPr>
          <w:szCs w:val="20"/>
        </w:rPr>
        <w:t xml:space="preserve"> (</w:t>
      </w:r>
      <w:r>
        <w:rPr>
          <w:szCs w:val="20"/>
        </w:rPr>
        <w:t>June 1, 1945</w:t>
      </w:r>
      <w:r w:rsidRPr="008D554C">
        <w:rPr>
          <w:szCs w:val="20"/>
        </w:rPr>
        <w:t>)</w:t>
      </w:r>
      <w:r>
        <w:rPr>
          <w:szCs w:val="20"/>
        </w:rPr>
        <w:t xml:space="preserve"> [hereinafter Eberhardt Report]</w:t>
      </w:r>
      <w:r w:rsidRPr="008D554C">
        <w:rPr>
          <w:szCs w:val="20"/>
        </w:rPr>
        <w:t xml:space="preserve">, </w:t>
      </w:r>
      <w:r w:rsidRPr="00E8576F">
        <w:rPr>
          <w:szCs w:val="20"/>
        </w:rPr>
        <w:t>http://goo.gl/73Oxxv</w:t>
      </w:r>
      <w:r w:rsidRPr="008D554C">
        <w:rPr>
          <w:szCs w:val="20"/>
        </w:rPr>
        <w:t xml:space="preserve"> (</w:t>
      </w:r>
      <w:r w:rsidRPr="00687675">
        <w:rPr>
          <w:szCs w:val="20"/>
        </w:rPr>
        <w:t>follow “</w:t>
      </w:r>
      <w:r>
        <w:rPr>
          <w:szCs w:val="20"/>
        </w:rPr>
        <w:t>Inspections</w:t>
      </w:r>
      <w:r w:rsidRPr="00687675">
        <w:rPr>
          <w:szCs w:val="20"/>
        </w:rPr>
        <w:t>” link, then “</w:t>
      </w:r>
      <w:r>
        <w:rPr>
          <w:szCs w:val="20"/>
        </w:rPr>
        <w:t>German POWs</w:t>
      </w:r>
      <w:r w:rsidRPr="00687675">
        <w:rPr>
          <w:szCs w:val="20"/>
        </w:rPr>
        <w:t>”</w:t>
      </w:r>
      <w:r w:rsidRPr="008D554C">
        <w:rPr>
          <w:szCs w:val="20"/>
        </w:rPr>
        <w:t>)</w:t>
      </w:r>
      <w:r>
        <w:rPr>
          <w:szCs w:val="20"/>
        </w:rPr>
        <w:t>.</w:t>
      </w:r>
    </w:p>
  </w:footnote>
  <w:footnote w:id="127">
    <w:p w14:paraId="35675087" w14:textId="19A8E6CA" w:rsidR="009E62A3" w:rsidRDefault="009E62A3" w:rsidP="00B113CF">
      <w:pPr>
        <w:pStyle w:val="FootnoteText"/>
        <w:ind w:left="360" w:right="360"/>
        <w:jc w:val="both"/>
      </w:pPr>
      <w:r>
        <w:rPr>
          <w:rStyle w:val="FootnoteReference"/>
        </w:rPr>
        <w:footnoteRef/>
      </w:r>
      <w:r>
        <w:t xml:space="preserve"> </w:t>
      </w:r>
      <w:r w:rsidRPr="00DF00FE">
        <w:rPr>
          <w:i/>
        </w:rPr>
        <w:t>Id</w:t>
      </w:r>
      <w:r>
        <w:t>.</w:t>
      </w:r>
    </w:p>
  </w:footnote>
  <w:footnote w:id="128">
    <w:p w14:paraId="6D9EAB40" w14:textId="11496037" w:rsidR="009E62A3" w:rsidRDefault="009E62A3" w:rsidP="00B113CF">
      <w:pPr>
        <w:pStyle w:val="FootnoteText"/>
        <w:ind w:left="360" w:right="360"/>
        <w:jc w:val="both"/>
      </w:pPr>
      <w:r>
        <w:rPr>
          <w:rStyle w:val="FootnoteReference"/>
        </w:rPr>
        <w:footnoteRef/>
      </w:r>
      <w:r>
        <w:t xml:space="preserve"> </w:t>
      </w:r>
      <w:r w:rsidRPr="00DF00FE">
        <w:rPr>
          <w:i/>
        </w:rPr>
        <w:t>Id</w:t>
      </w:r>
      <w:r>
        <w:t>.</w:t>
      </w:r>
    </w:p>
  </w:footnote>
  <w:footnote w:id="129">
    <w:p w14:paraId="347F7F9D" w14:textId="2AAB7B94" w:rsidR="009E62A3" w:rsidRDefault="009E62A3" w:rsidP="00B113CF">
      <w:pPr>
        <w:pStyle w:val="FootnoteText"/>
        <w:ind w:left="360" w:right="360"/>
        <w:jc w:val="both"/>
      </w:pPr>
      <w:r>
        <w:rPr>
          <w:rStyle w:val="FootnoteReference"/>
        </w:rPr>
        <w:footnoteRef/>
      </w:r>
      <w:r>
        <w:t xml:space="preserve"> 1929 Geneva Convention I, art. 16.</w:t>
      </w:r>
    </w:p>
  </w:footnote>
  <w:footnote w:id="130">
    <w:p w14:paraId="395D8BBD" w14:textId="5C27835F" w:rsidR="009E62A3" w:rsidRDefault="009E62A3" w:rsidP="00B113CF">
      <w:pPr>
        <w:pStyle w:val="FootnoteText"/>
        <w:ind w:left="360" w:right="360"/>
        <w:jc w:val="both"/>
      </w:pPr>
      <w:r>
        <w:rPr>
          <w:rStyle w:val="FootnoteReference"/>
        </w:rPr>
        <w:footnoteRef/>
      </w:r>
      <w:r>
        <w:t xml:space="preserve"> </w:t>
      </w:r>
      <w:r w:rsidRPr="00DF00FE">
        <w:rPr>
          <w:i/>
        </w:rPr>
        <w:t>Id</w:t>
      </w:r>
      <w:r>
        <w:t>.</w:t>
      </w:r>
    </w:p>
  </w:footnote>
  <w:footnote w:id="131">
    <w:p w14:paraId="0AD62A87" w14:textId="017A72BC"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A8086D">
        <w:rPr>
          <w:smallCaps/>
          <w:szCs w:val="20"/>
        </w:rPr>
        <w:t xml:space="preserve">H.R. Rep. No. </w:t>
      </w:r>
      <w:r>
        <w:rPr>
          <w:szCs w:val="20"/>
        </w:rPr>
        <w:t xml:space="preserve">78-1992, </w:t>
      </w:r>
      <w:r w:rsidRPr="00BB4910">
        <w:rPr>
          <w:i/>
          <w:iCs/>
          <w:szCs w:val="20"/>
        </w:rPr>
        <w:t>supra</w:t>
      </w:r>
      <w:r w:rsidRPr="00BB4910">
        <w:rPr>
          <w:szCs w:val="20"/>
        </w:rPr>
        <w:t> </w:t>
      </w:r>
      <w:r>
        <w:rPr>
          <w:szCs w:val="20"/>
        </w:rPr>
        <w:t>note 112,</w:t>
      </w:r>
      <w:r w:rsidRPr="00BB4910">
        <w:rPr>
          <w:szCs w:val="20"/>
        </w:rPr>
        <w:t xml:space="preserve"> </w:t>
      </w:r>
      <w:r>
        <w:rPr>
          <w:szCs w:val="20"/>
        </w:rPr>
        <w:t>at 15.</w:t>
      </w:r>
    </w:p>
  </w:footnote>
  <w:footnote w:id="132">
    <w:p w14:paraId="431AF046" w14:textId="2EF257FD"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DF00FE">
        <w:rPr>
          <w:i/>
        </w:rPr>
        <w:t>Id</w:t>
      </w:r>
      <w:r>
        <w:t>.</w:t>
      </w:r>
    </w:p>
  </w:footnote>
  <w:footnote w:id="133">
    <w:p w14:paraId="7B808C49" w14:textId="27FFF805" w:rsidR="009E62A3" w:rsidRPr="005340C0" w:rsidRDefault="009E62A3" w:rsidP="00B91E24">
      <w:pPr>
        <w:pStyle w:val="FootnoteText"/>
        <w:ind w:left="360" w:right="270"/>
        <w:jc w:val="both"/>
        <w:rPr>
          <w:szCs w:val="20"/>
        </w:rPr>
      </w:pPr>
      <w:r w:rsidRPr="005340C0">
        <w:rPr>
          <w:rStyle w:val="FootnoteReference"/>
          <w:szCs w:val="20"/>
        </w:rPr>
        <w:footnoteRef/>
      </w:r>
      <w:r w:rsidRPr="005340C0">
        <w:rPr>
          <w:szCs w:val="20"/>
        </w:rPr>
        <w:t xml:space="preserve"> Thompson, </w:t>
      </w:r>
      <w:r w:rsidRPr="00BB4910">
        <w:rPr>
          <w:i/>
          <w:iCs/>
          <w:szCs w:val="20"/>
        </w:rPr>
        <w:t>supra</w:t>
      </w:r>
      <w:r w:rsidRPr="00BB4910">
        <w:rPr>
          <w:szCs w:val="20"/>
        </w:rPr>
        <w:t> </w:t>
      </w:r>
      <w:r>
        <w:rPr>
          <w:szCs w:val="20"/>
        </w:rPr>
        <w:t xml:space="preserve">note 39, </w:t>
      </w:r>
      <w:r w:rsidRPr="005340C0">
        <w:rPr>
          <w:szCs w:val="20"/>
        </w:rPr>
        <w:t>at 201.</w:t>
      </w:r>
    </w:p>
  </w:footnote>
  <w:footnote w:id="134">
    <w:p w14:paraId="3934F4E3" w14:textId="76EA5416" w:rsidR="009E62A3" w:rsidRPr="005340C0" w:rsidRDefault="009E62A3" w:rsidP="00B91E24">
      <w:pPr>
        <w:pStyle w:val="FootnoteText"/>
        <w:ind w:left="360" w:right="270"/>
        <w:jc w:val="both"/>
        <w:rPr>
          <w:szCs w:val="20"/>
        </w:rPr>
      </w:pPr>
      <w:r w:rsidRPr="00DA6E9A">
        <w:rPr>
          <w:rStyle w:val="FootnoteReference"/>
          <w:szCs w:val="20"/>
        </w:rPr>
        <w:footnoteRef/>
      </w:r>
      <w:r w:rsidRPr="00DA6E9A">
        <w:rPr>
          <w:szCs w:val="20"/>
        </w:rPr>
        <w:t xml:space="preserve"> Indiana Landmarks, </w:t>
      </w:r>
      <w:r w:rsidRPr="00DA6E9A">
        <w:rPr>
          <w:i/>
          <w:szCs w:val="20"/>
        </w:rPr>
        <w:t>Comfort in a Time of War: Camp Atterbury’s POW Chapel</w:t>
      </w:r>
      <w:r w:rsidRPr="00DA6E9A">
        <w:rPr>
          <w:szCs w:val="20"/>
        </w:rPr>
        <w:t xml:space="preserve">, </w:t>
      </w:r>
      <w:r w:rsidRPr="00DA6E9A">
        <w:rPr>
          <w:smallCaps/>
          <w:szCs w:val="20"/>
        </w:rPr>
        <w:t>Hidden Gems</w:t>
      </w:r>
      <w:r w:rsidRPr="00DA6E9A">
        <w:rPr>
          <w:szCs w:val="20"/>
        </w:rPr>
        <w:t xml:space="preserve"> (Sep. 25, 2014), </w:t>
      </w:r>
      <w:r w:rsidRPr="00E640E5">
        <w:rPr>
          <w:szCs w:val="20"/>
        </w:rPr>
        <w:t>http://www.hiddengemsindiana.org/2014/09/camp-atterbury-pow-chapel-.html</w:t>
      </w:r>
      <w:r>
        <w:rPr>
          <w:szCs w:val="20"/>
        </w:rPr>
        <w:t xml:space="preserve">. </w:t>
      </w:r>
      <w:r w:rsidRPr="008B082D">
        <w:rPr>
          <w:i/>
          <w:szCs w:val="20"/>
        </w:rPr>
        <w:t>See also Catholic Shrine is Constructed by Italian Prisoners of War</w:t>
      </w:r>
      <w:r>
        <w:rPr>
          <w:szCs w:val="20"/>
        </w:rPr>
        <w:t xml:space="preserve">, 2 </w:t>
      </w:r>
      <w:r w:rsidRPr="008A0D12">
        <w:rPr>
          <w:smallCaps/>
          <w:szCs w:val="20"/>
        </w:rPr>
        <w:t>Camp Crier</w:t>
      </w:r>
      <w:r>
        <w:rPr>
          <w:szCs w:val="20"/>
        </w:rPr>
        <w:t>, no. 1</w:t>
      </w:r>
      <w:r w:rsidRPr="008A0D12">
        <w:rPr>
          <w:szCs w:val="20"/>
        </w:rPr>
        <w:t xml:space="preserve">, </w:t>
      </w:r>
      <w:r>
        <w:rPr>
          <w:szCs w:val="20"/>
        </w:rPr>
        <w:t xml:space="preserve">Sept. 24, 1943, at 4, </w:t>
      </w:r>
      <w:r w:rsidRPr="00A852C6">
        <w:rPr>
          <w:i/>
          <w:szCs w:val="20"/>
        </w:rPr>
        <w:t>available at</w:t>
      </w:r>
      <w:r>
        <w:rPr>
          <w:szCs w:val="20"/>
        </w:rPr>
        <w:t xml:space="preserve"> </w:t>
      </w:r>
      <w:r w:rsidRPr="008B082D">
        <w:rPr>
          <w:szCs w:val="20"/>
        </w:rPr>
        <w:t>https://goo.gl/Tn8tXP</w:t>
      </w:r>
      <w:r>
        <w:rPr>
          <w:szCs w:val="20"/>
        </w:rPr>
        <w:t>.</w:t>
      </w:r>
    </w:p>
  </w:footnote>
  <w:footnote w:id="135">
    <w:p w14:paraId="722EE3D4" w14:textId="35873778" w:rsidR="009E62A3" w:rsidRDefault="009E62A3" w:rsidP="00B91E24">
      <w:pPr>
        <w:pStyle w:val="FootnoteText"/>
        <w:ind w:left="360" w:right="270"/>
        <w:jc w:val="both"/>
      </w:pPr>
      <w:r>
        <w:rPr>
          <w:rStyle w:val="FootnoteReference"/>
        </w:rPr>
        <w:footnoteRef/>
      </w:r>
      <w:r>
        <w:t xml:space="preserve"> </w:t>
      </w:r>
      <w:r w:rsidRPr="00DA6E9A">
        <w:rPr>
          <w:smallCaps/>
          <w:szCs w:val="20"/>
        </w:rPr>
        <w:t>James J. Divita, Indianapolis Italians</w:t>
      </w:r>
      <w:r w:rsidRPr="00DA6E9A">
        <w:t xml:space="preserve"> 112 (2006).</w:t>
      </w:r>
    </w:p>
  </w:footnote>
  <w:footnote w:id="136">
    <w:p w14:paraId="6E6FAD23" w14:textId="5DDDF8B2" w:rsidR="009E62A3" w:rsidRDefault="009E62A3" w:rsidP="00B91E24">
      <w:pPr>
        <w:pStyle w:val="FootnoteText"/>
        <w:ind w:left="360" w:right="270"/>
        <w:jc w:val="both"/>
      </w:pPr>
      <w:r>
        <w:rPr>
          <w:rStyle w:val="FootnoteReference"/>
        </w:rPr>
        <w:footnoteRef/>
      </w:r>
      <w:r>
        <w:t xml:space="preserve"> </w:t>
      </w:r>
      <w:r>
        <w:rPr>
          <w:i/>
        </w:rPr>
        <w:t>PW’s Greet High Catholic Visitors</w:t>
      </w:r>
      <w:r>
        <w:t xml:space="preserve">, </w:t>
      </w:r>
      <w:r>
        <w:rPr>
          <w:szCs w:val="20"/>
        </w:rPr>
        <w:t xml:space="preserve">2 </w:t>
      </w:r>
      <w:r w:rsidRPr="008A0D12">
        <w:rPr>
          <w:smallCaps/>
          <w:szCs w:val="20"/>
        </w:rPr>
        <w:t>Camp Crier</w:t>
      </w:r>
      <w:r>
        <w:rPr>
          <w:szCs w:val="20"/>
        </w:rPr>
        <w:t>, no. 5</w:t>
      </w:r>
      <w:r w:rsidRPr="008A0D12">
        <w:rPr>
          <w:szCs w:val="20"/>
        </w:rPr>
        <w:t xml:space="preserve">, </w:t>
      </w:r>
      <w:r>
        <w:rPr>
          <w:szCs w:val="20"/>
        </w:rPr>
        <w:t xml:space="preserve">Oct. 22, 1943, at 1, </w:t>
      </w:r>
      <w:r>
        <w:rPr>
          <w:i/>
          <w:szCs w:val="20"/>
        </w:rPr>
        <w:t>digitized</w:t>
      </w:r>
      <w:r w:rsidRPr="002543AB">
        <w:rPr>
          <w:i/>
          <w:szCs w:val="20"/>
        </w:rPr>
        <w:t xml:space="preserve"> at</w:t>
      </w:r>
      <w:r w:rsidRPr="00A852C6">
        <w:rPr>
          <w:szCs w:val="20"/>
        </w:rPr>
        <w:t xml:space="preserve"> https://goo.gl/RBQxMR</w:t>
      </w:r>
      <w:r>
        <w:rPr>
          <w:szCs w:val="20"/>
        </w:rPr>
        <w:t>.</w:t>
      </w:r>
    </w:p>
  </w:footnote>
  <w:footnote w:id="137">
    <w:p w14:paraId="05572BB3" w14:textId="7E0738DE" w:rsidR="009E62A3" w:rsidRDefault="009E62A3" w:rsidP="00B91E24">
      <w:pPr>
        <w:pStyle w:val="FootnoteText"/>
        <w:ind w:left="360" w:right="270"/>
        <w:jc w:val="both"/>
      </w:pPr>
      <w:r>
        <w:rPr>
          <w:rStyle w:val="FootnoteReference"/>
        </w:rPr>
        <w:footnoteRef/>
      </w:r>
      <w:r>
        <w:t xml:space="preserve"> 1929 Geneva Convention I, art. 17.</w:t>
      </w:r>
    </w:p>
  </w:footnote>
  <w:footnote w:id="138">
    <w:p w14:paraId="538569CC" w14:textId="100E021F" w:rsidR="009E62A3" w:rsidRPr="005340C0" w:rsidRDefault="009E62A3" w:rsidP="00B91E24">
      <w:pPr>
        <w:pStyle w:val="FootnoteText"/>
        <w:ind w:left="360" w:right="270"/>
        <w:jc w:val="both"/>
        <w:rPr>
          <w:szCs w:val="20"/>
        </w:rPr>
      </w:pPr>
      <w:r w:rsidRPr="005340C0">
        <w:rPr>
          <w:rStyle w:val="FootnoteReference"/>
          <w:szCs w:val="20"/>
        </w:rPr>
        <w:footnoteRef/>
      </w:r>
      <w:r w:rsidRPr="005340C0">
        <w:rPr>
          <w:szCs w:val="20"/>
        </w:rPr>
        <w:t xml:space="preserve"> </w:t>
      </w:r>
      <w:r w:rsidRPr="00A8086D">
        <w:rPr>
          <w:smallCaps/>
          <w:szCs w:val="20"/>
        </w:rPr>
        <w:t xml:space="preserve">H.R. Rep. No. </w:t>
      </w:r>
      <w:r>
        <w:rPr>
          <w:szCs w:val="20"/>
        </w:rPr>
        <w:t xml:space="preserve">78-1992, </w:t>
      </w:r>
      <w:r w:rsidRPr="00BB4910">
        <w:rPr>
          <w:i/>
          <w:iCs/>
          <w:szCs w:val="20"/>
        </w:rPr>
        <w:t>supra</w:t>
      </w:r>
      <w:r w:rsidRPr="00BB4910">
        <w:rPr>
          <w:szCs w:val="20"/>
        </w:rPr>
        <w:t> </w:t>
      </w:r>
      <w:r>
        <w:rPr>
          <w:szCs w:val="20"/>
        </w:rPr>
        <w:t>note 112,</w:t>
      </w:r>
      <w:r w:rsidRPr="00BB4910">
        <w:rPr>
          <w:szCs w:val="20"/>
        </w:rPr>
        <w:t xml:space="preserve"> </w:t>
      </w:r>
      <w:r>
        <w:rPr>
          <w:szCs w:val="20"/>
        </w:rPr>
        <w:t>at 15.</w:t>
      </w:r>
    </w:p>
  </w:footnote>
  <w:footnote w:id="139">
    <w:p w14:paraId="49222299" w14:textId="698822D4" w:rsidR="009E62A3" w:rsidRDefault="009E62A3" w:rsidP="00B91E24">
      <w:pPr>
        <w:pStyle w:val="FootnoteText"/>
        <w:ind w:left="360" w:right="270"/>
        <w:jc w:val="both"/>
      </w:pPr>
      <w:r>
        <w:rPr>
          <w:rStyle w:val="FootnoteReference"/>
        </w:rPr>
        <w:footnoteRef/>
      </w:r>
      <w:r>
        <w:t xml:space="preserve"> </w:t>
      </w:r>
      <w:r>
        <w:rPr>
          <w:i/>
        </w:rPr>
        <w:t>Press Reveals PW Daily Life</w:t>
      </w:r>
      <w:r>
        <w:t xml:space="preserve">, </w:t>
      </w:r>
      <w:r>
        <w:rPr>
          <w:szCs w:val="20"/>
        </w:rPr>
        <w:t xml:space="preserve">1 </w:t>
      </w:r>
      <w:r w:rsidRPr="008A0D12">
        <w:rPr>
          <w:smallCaps/>
          <w:szCs w:val="20"/>
        </w:rPr>
        <w:t>Camp Crier</w:t>
      </w:r>
      <w:r>
        <w:rPr>
          <w:szCs w:val="20"/>
        </w:rPr>
        <w:t>, no. 17</w:t>
      </w:r>
      <w:r w:rsidRPr="008A0D12">
        <w:rPr>
          <w:szCs w:val="20"/>
        </w:rPr>
        <w:t xml:space="preserve">, </w:t>
      </w:r>
      <w:r>
        <w:rPr>
          <w:szCs w:val="20"/>
        </w:rPr>
        <w:t xml:space="preserve">June 25, 1943, at 10, </w:t>
      </w:r>
      <w:r>
        <w:rPr>
          <w:i/>
          <w:szCs w:val="20"/>
        </w:rPr>
        <w:t>digitized</w:t>
      </w:r>
      <w:r w:rsidRPr="002543AB">
        <w:rPr>
          <w:i/>
          <w:szCs w:val="20"/>
        </w:rPr>
        <w:t xml:space="preserve"> at</w:t>
      </w:r>
      <w:r>
        <w:rPr>
          <w:szCs w:val="20"/>
        </w:rPr>
        <w:t xml:space="preserve"> </w:t>
      </w:r>
      <w:r w:rsidRPr="002543AB">
        <w:rPr>
          <w:szCs w:val="20"/>
        </w:rPr>
        <w:t>https://goo.gl/hqI3Lf</w:t>
      </w:r>
      <w:r>
        <w:rPr>
          <w:szCs w:val="20"/>
        </w:rPr>
        <w:t>.</w:t>
      </w:r>
    </w:p>
  </w:footnote>
  <w:footnote w:id="140">
    <w:p w14:paraId="591C95CF" w14:textId="0FF385D0" w:rsidR="009E62A3" w:rsidRDefault="009E62A3" w:rsidP="00B91E24">
      <w:pPr>
        <w:pStyle w:val="FootnoteText"/>
        <w:ind w:left="360" w:right="270"/>
      </w:pPr>
      <w:r>
        <w:rPr>
          <w:rStyle w:val="FootnoteReference"/>
        </w:rPr>
        <w:footnoteRef/>
      </w:r>
      <w:r>
        <w:t xml:space="preserve"> </w:t>
      </w:r>
      <w:r w:rsidRPr="00EE31B6">
        <w:rPr>
          <w:i/>
        </w:rPr>
        <w:t>Id</w:t>
      </w:r>
      <w:r>
        <w:t>.</w:t>
      </w:r>
    </w:p>
  </w:footnote>
  <w:footnote w:id="141">
    <w:p w14:paraId="34321E45" w14:textId="0DD78050" w:rsidR="009E62A3" w:rsidRDefault="009E62A3" w:rsidP="00B91E24">
      <w:pPr>
        <w:pStyle w:val="FootnoteText"/>
        <w:ind w:left="360" w:right="270"/>
        <w:jc w:val="both"/>
      </w:pPr>
      <w:r>
        <w:rPr>
          <w:rStyle w:val="FootnoteReference"/>
        </w:rPr>
        <w:footnoteRef/>
      </w:r>
      <w:r>
        <w:t xml:space="preserve"> </w:t>
      </w:r>
      <w:r>
        <w:rPr>
          <w:szCs w:val="20"/>
        </w:rPr>
        <w:t xml:space="preserve">Inspection Report on Camp Atterbury </w:t>
      </w:r>
      <w:r w:rsidRPr="008D554C">
        <w:rPr>
          <w:szCs w:val="20"/>
        </w:rPr>
        <w:t xml:space="preserve">by </w:t>
      </w:r>
      <w:r>
        <w:rPr>
          <w:szCs w:val="20"/>
        </w:rPr>
        <w:t>Mr. Schnyder</w:t>
      </w:r>
      <w:r w:rsidRPr="008D554C">
        <w:rPr>
          <w:szCs w:val="20"/>
        </w:rPr>
        <w:t xml:space="preserve">, </w:t>
      </w:r>
      <w:r>
        <w:rPr>
          <w:szCs w:val="20"/>
        </w:rPr>
        <w:t xml:space="preserve">Int’l Red Cross </w:t>
      </w:r>
      <w:r w:rsidRPr="008D554C">
        <w:rPr>
          <w:szCs w:val="20"/>
        </w:rPr>
        <w:t>(</w:t>
      </w:r>
      <w:r>
        <w:rPr>
          <w:szCs w:val="20"/>
        </w:rPr>
        <w:t>Aug. 29, 1943</w:t>
      </w:r>
      <w:r w:rsidRPr="008D554C">
        <w:rPr>
          <w:szCs w:val="20"/>
        </w:rPr>
        <w:t>)</w:t>
      </w:r>
      <w:r>
        <w:rPr>
          <w:szCs w:val="20"/>
        </w:rPr>
        <w:t xml:space="preserve"> [hereinafter Schnyder Report]</w:t>
      </w:r>
      <w:r w:rsidRPr="008D554C">
        <w:rPr>
          <w:szCs w:val="20"/>
        </w:rPr>
        <w:t xml:space="preserve">, </w:t>
      </w:r>
      <w:r w:rsidRPr="00E8576F">
        <w:rPr>
          <w:szCs w:val="20"/>
        </w:rPr>
        <w:t>http://goo.gl/73Oxxv</w:t>
      </w:r>
      <w:r>
        <w:rPr>
          <w:szCs w:val="20"/>
        </w:rPr>
        <w:t xml:space="preserve"> (follow “Inspections” link, then “Italian POWs”)</w:t>
      </w:r>
      <w:r w:rsidRPr="008D554C">
        <w:rPr>
          <w:szCs w:val="20"/>
        </w:rPr>
        <w:t>.</w:t>
      </w:r>
    </w:p>
  </w:footnote>
  <w:footnote w:id="142">
    <w:p w14:paraId="5D0D116A" w14:textId="1C23464A" w:rsidR="009E62A3" w:rsidRDefault="009E62A3" w:rsidP="00B91E24">
      <w:pPr>
        <w:pStyle w:val="FootnoteText"/>
        <w:ind w:left="360" w:right="270"/>
        <w:jc w:val="both"/>
      </w:pPr>
      <w:r>
        <w:rPr>
          <w:rStyle w:val="FootnoteReference"/>
        </w:rPr>
        <w:footnoteRef/>
      </w:r>
      <w:r>
        <w:t xml:space="preserve"> </w:t>
      </w:r>
      <w:r w:rsidRPr="00DF00FE">
        <w:rPr>
          <w:i/>
        </w:rPr>
        <w:t>Id</w:t>
      </w:r>
      <w:r>
        <w:t>.</w:t>
      </w:r>
    </w:p>
  </w:footnote>
  <w:footnote w:id="143">
    <w:p w14:paraId="0D1B7A80" w14:textId="3A4B7062" w:rsidR="009E62A3" w:rsidRDefault="009E62A3" w:rsidP="00B91E24">
      <w:pPr>
        <w:pStyle w:val="FootnoteText"/>
        <w:ind w:left="360" w:right="270"/>
        <w:jc w:val="both"/>
      </w:pPr>
      <w:r>
        <w:rPr>
          <w:rStyle w:val="FootnoteReference"/>
        </w:rPr>
        <w:footnoteRef/>
      </w:r>
      <w:r>
        <w:t xml:space="preserve"> </w:t>
      </w:r>
      <w:r>
        <w:rPr>
          <w:szCs w:val="20"/>
        </w:rPr>
        <w:t>Cook</w:t>
      </w:r>
      <w:r w:rsidRPr="005340C0">
        <w:rPr>
          <w:szCs w:val="20"/>
        </w:rPr>
        <w:t xml:space="preserve">, </w:t>
      </w:r>
      <w:r w:rsidRPr="00BB4910">
        <w:rPr>
          <w:i/>
          <w:iCs/>
          <w:szCs w:val="20"/>
        </w:rPr>
        <w:t>supra</w:t>
      </w:r>
      <w:r w:rsidRPr="00BB4910">
        <w:rPr>
          <w:szCs w:val="20"/>
        </w:rPr>
        <w:t> </w:t>
      </w:r>
      <w:r>
        <w:rPr>
          <w:szCs w:val="20"/>
        </w:rPr>
        <w:t xml:space="preserve">note 8, </w:t>
      </w:r>
      <w:r w:rsidRPr="00BB4910">
        <w:rPr>
          <w:szCs w:val="20"/>
        </w:rPr>
        <w:t>at</w:t>
      </w:r>
      <w:r>
        <w:rPr>
          <w:szCs w:val="20"/>
        </w:rPr>
        <w:t xml:space="preserve"> *5</w:t>
      </w:r>
      <w:r w:rsidRPr="005340C0">
        <w:rPr>
          <w:szCs w:val="20"/>
        </w:rPr>
        <w:t>.</w:t>
      </w:r>
    </w:p>
  </w:footnote>
  <w:footnote w:id="144">
    <w:p w14:paraId="1ABBC101" w14:textId="338155A5" w:rsidR="009E62A3" w:rsidRDefault="009E62A3" w:rsidP="00B91E24">
      <w:pPr>
        <w:pStyle w:val="FootnoteText"/>
        <w:ind w:left="360" w:right="270"/>
        <w:jc w:val="both"/>
      </w:pPr>
      <w:r>
        <w:rPr>
          <w:rStyle w:val="FootnoteReference"/>
        </w:rPr>
        <w:footnoteRef/>
      </w:r>
      <w:r>
        <w:t xml:space="preserve"> </w:t>
      </w:r>
      <w:r w:rsidRPr="00DF00FE">
        <w:rPr>
          <w:i/>
        </w:rPr>
        <w:t>Id</w:t>
      </w:r>
      <w:r>
        <w:t>.</w:t>
      </w:r>
    </w:p>
  </w:footnote>
  <w:footnote w:id="145">
    <w:p w14:paraId="6B137AFB" w14:textId="0380054F" w:rsidR="009E62A3" w:rsidRDefault="009E62A3" w:rsidP="00B91E24">
      <w:pPr>
        <w:pStyle w:val="FootnoteText"/>
        <w:ind w:left="360" w:right="270"/>
        <w:jc w:val="both"/>
      </w:pPr>
      <w:r>
        <w:rPr>
          <w:rStyle w:val="FootnoteReference"/>
        </w:rPr>
        <w:footnoteRef/>
      </w:r>
      <w:r>
        <w:t xml:space="preserve"> </w:t>
      </w:r>
      <w:r w:rsidRPr="00DF00FE">
        <w:rPr>
          <w:i/>
        </w:rPr>
        <w:t>Id</w:t>
      </w:r>
      <w:r>
        <w:t>.</w:t>
      </w:r>
    </w:p>
  </w:footnote>
  <w:footnote w:id="146">
    <w:p w14:paraId="02A5AED2" w14:textId="016E5D19" w:rsidR="009E62A3" w:rsidRPr="005340C0" w:rsidRDefault="009E62A3" w:rsidP="00B91E24">
      <w:pPr>
        <w:pStyle w:val="FootnoteText"/>
        <w:ind w:left="360" w:right="270"/>
        <w:jc w:val="both"/>
        <w:rPr>
          <w:szCs w:val="20"/>
        </w:rPr>
      </w:pPr>
      <w:r w:rsidRPr="005340C0">
        <w:rPr>
          <w:rStyle w:val="FootnoteReference"/>
          <w:szCs w:val="20"/>
        </w:rPr>
        <w:footnoteRef/>
      </w:r>
      <w:r w:rsidRPr="005340C0">
        <w:rPr>
          <w:szCs w:val="20"/>
        </w:rPr>
        <w:t xml:space="preserve"> Thompson, </w:t>
      </w:r>
      <w:r w:rsidRPr="00BB4910">
        <w:rPr>
          <w:i/>
          <w:iCs/>
          <w:szCs w:val="20"/>
        </w:rPr>
        <w:t>supra</w:t>
      </w:r>
      <w:r w:rsidRPr="00BB4910">
        <w:rPr>
          <w:szCs w:val="20"/>
        </w:rPr>
        <w:t> </w:t>
      </w:r>
      <w:r>
        <w:rPr>
          <w:szCs w:val="20"/>
        </w:rPr>
        <w:t xml:space="preserve">note 39, </w:t>
      </w:r>
      <w:r w:rsidRPr="005340C0">
        <w:rPr>
          <w:szCs w:val="20"/>
        </w:rPr>
        <w:t>at 213-14.</w:t>
      </w:r>
    </w:p>
  </w:footnote>
  <w:footnote w:id="147">
    <w:p w14:paraId="7CD2F728" w14:textId="3FF92900" w:rsidR="009E62A3" w:rsidRDefault="009E62A3" w:rsidP="00B91E24">
      <w:pPr>
        <w:pStyle w:val="FootnoteText"/>
        <w:ind w:left="360" w:right="270"/>
        <w:jc w:val="both"/>
      </w:pPr>
      <w:r>
        <w:rPr>
          <w:rStyle w:val="FootnoteReference"/>
        </w:rPr>
        <w:footnoteRef/>
      </w:r>
      <w:r>
        <w:t xml:space="preserve"> </w:t>
      </w:r>
      <w:r w:rsidRPr="00B644EB">
        <w:t>Prisoners</w:t>
      </w:r>
      <w:r>
        <w:t xml:space="preserve"> of War [list of students] (n.d.) (on file with Indiana University Bloomington Archives); Indiana University Extension Division, Learn by Mail [correspondence study course descriptions] (1945) (on file with Indiana University Bloomington Archives).</w:t>
      </w:r>
    </w:p>
  </w:footnote>
  <w:footnote w:id="148">
    <w:p w14:paraId="1071962F" w14:textId="129A1B5E" w:rsidR="009E62A3" w:rsidRDefault="009E62A3" w:rsidP="00B91E24">
      <w:pPr>
        <w:pStyle w:val="FootnoteText"/>
        <w:ind w:left="360" w:right="270"/>
        <w:jc w:val="both"/>
      </w:pPr>
      <w:r>
        <w:rPr>
          <w:rStyle w:val="FootnoteReference"/>
        </w:rPr>
        <w:footnoteRef/>
      </w:r>
      <w:r>
        <w:rPr>
          <w:szCs w:val="20"/>
        </w:rPr>
        <w:t xml:space="preserve"> Martin Tollefson, </w:t>
      </w:r>
      <w:r w:rsidRPr="00933F49">
        <w:rPr>
          <w:i/>
          <w:szCs w:val="20"/>
        </w:rPr>
        <w:t>Enemy Prisoners of War</w:t>
      </w:r>
      <w:r>
        <w:rPr>
          <w:szCs w:val="20"/>
        </w:rPr>
        <w:t xml:space="preserve">, 32 </w:t>
      </w:r>
      <w:r w:rsidRPr="00933F49">
        <w:rPr>
          <w:smallCaps/>
          <w:szCs w:val="20"/>
        </w:rPr>
        <w:t>Iowa L. Rev.</w:t>
      </w:r>
      <w:r>
        <w:rPr>
          <w:szCs w:val="20"/>
        </w:rPr>
        <w:t xml:space="preserve"> 51, 67-71 (1946); </w:t>
      </w:r>
      <w:r>
        <w:t xml:space="preserve">Arbuckle, </w:t>
      </w:r>
      <w:r w:rsidRPr="00BB4910">
        <w:rPr>
          <w:i/>
          <w:iCs/>
          <w:szCs w:val="20"/>
        </w:rPr>
        <w:t>supra</w:t>
      </w:r>
      <w:r w:rsidRPr="00BB4910">
        <w:rPr>
          <w:szCs w:val="20"/>
        </w:rPr>
        <w:t> </w:t>
      </w:r>
      <w:r>
        <w:rPr>
          <w:szCs w:val="20"/>
        </w:rPr>
        <w:t>note 7, at 41.</w:t>
      </w:r>
    </w:p>
  </w:footnote>
  <w:footnote w:id="149">
    <w:p w14:paraId="423A15D3" w14:textId="42B37C0F" w:rsidR="009E62A3" w:rsidRPr="005340C0" w:rsidRDefault="009E62A3" w:rsidP="00B91E24">
      <w:pPr>
        <w:pStyle w:val="FootnoteText"/>
        <w:ind w:left="360" w:right="270"/>
        <w:jc w:val="both"/>
        <w:rPr>
          <w:szCs w:val="20"/>
        </w:rPr>
      </w:pPr>
      <w:r w:rsidRPr="005340C0">
        <w:rPr>
          <w:rStyle w:val="FootnoteReference"/>
          <w:szCs w:val="20"/>
        </w:rPr>
        <w:footnoteRef/>
      </w:r>
      <w:r w:rsidRPr="005340C0">
        <w:rPr>
          <w:szCs w:val="20"/>
        </w:rPr>
        <w:t xml:space="preserve"> Thompson, </w:t>
      </w:r>
      <w:r w:rsidRPr="00BB4910">
        <w:rPr>
          <w:i/>
          <w:iCs/>
          <w:szCs w:val="20"/>
        </w:rPr>
        <w:t>supra</w:t>
      </w:r>
      <w:r w:rsidRPr="00BB4910">
        <w:rPr>
          <w:szCs w:val="20"/>
        </w:rPr>
        <w:t> </w:t>
      </w:r>
      <w:r>
        <w:rPr>
          <w:szCs w:val="20"/>
        </w:rPr>
        <w:t xml:space="preserve">note 39, </w:t>
      </w:r>
      <w:r w:rsidRPr="005340C0">
        <w:rPr>
          <w:szCs w:val="20"/>
        </w:rPr>
        <w:t xml:space="preserve">at </w:t>
      </w:r>
      <w:r>
        <w:rPr>
          <w:szCs w:val="20"/>
        </w:rPr>
        <w:t xml:space="preserve">221; </w:t>
      </w:r>
      <w:r w:rsidRPr="005340C0">
        <w:rPr>
          <w:szCs w:val="20"/>
        </w:rPr>
        <w:t xml:space="preserve">Tollefson, </w:t>
      </w:r>
      <w:r w:rsidRPr="00BB4910">
        <w:rPr>
          <w:i/>
          <w:iCs/>
          <w:szCs w:val="20"/>
        </w:rPr>
        <w:t>supra</w:t>
      </w:r>
      <w:r w:rsidRPr="00BB4910">
        <w:rPr>
          <w:szCs w:val="20"/>
        </w:rPr>
        <w:t> </w:t>
      </w:r>
      <w:r>
        <w:rPr>
          <w:szCs w:val="20"/>
        </w:rPr>
        <w:t xml:space="preserve">note 147, </w:t>
      </w:r>
      <w:r w:rsidRPr="005340C0">
        <w:rPr>
          <w:szCs w:val="20"/>
        </w:rPr>
        <w:t>at</w:t>
      </w:r>
      <w:r>
        <w:rPr>
          <w:szCs w:val="20"/>
        </w:rPr>
        <w:t xml:space="preserve"> 67</w:t>
      </w:r>
      <w:r w:rsidRPr="005340C0">
        <w:rPr>
          <w:szCs w:val="20"/>
        </w:rPr>
        <w:t>.</w:t>
      </w:r>
    </w:p>
  </w:footnote>
  <w:footnote w:id="150">
    <w:p w14:paraId="2FE3F6BD" w14:textId="76786334" w:rsidR="009E62A3" w:rsidRDefault="009E62A3" w:rsidP="00B91E24">
      <w:pPr>
        <w:pStyle w:val="FootnoteText"/>
        <w:ind w:left="360" w:right="270"/>
      </w:pPr>
      <w:r>
        <w:rPr>
          <w:rStyle w:val="FootnoteReference"/>
        </w:rPr>
        <w:footnoteRef/>
      </w:r>
      <w:r>
        <w:t xml:space="preserve"> Arbuckle, </w:t>
      </w:r>
      <w:r w:rsidRPr="00BB4910">
        <w:rPr>
          <w:i/>
          <w:iCs/>
          <w:szCs w:val="20"/>
        </w:rPr>
        <w:t>supra</w:t>
      </w:r>
      <w:r w:rsidRPr="00BB4910">
        <w:rPr>
          <w:szCs w:val="20"/>
        </w:rPr>
        <w:t> </w:t>
      </w:r>
      <w:r>
        <w:rPr>
          <w:szCs w:val="20"/>
        </w:rPr>
        <w:t>note 7, at 41.</w:t>
      </w:r>
    </w:p>
  </w:footnote>
  <w:footnote w:id="151">
    <w:p w14:paraId="1815CF7B" w14:textId="6E2F9AD5" w:rsidR="009E62A3" w:rsidRPr="005F5300" w:rsidRDefault="009E62A3" w:rsidP="00B91E24">
      <w:pPr>
        <w:pStyle w:val="FootnoteText"/>
        <w:ind w:left="360" w:right="270"/>
        <w:jc w:val="both"/>
      </w:pPr>
      <w:r w:rsidRPr="005340C0">
        <w:rPr>
          <w:rStyle w:val="FootnoteReference"/>
          <w:szCs w:val="20"/>
        </w:rPr>
        <w:footnoteRef/>
      </w:r>
      <w:r w:rsidRPr="005340C0">
        <w:rPr>
          <w:szCs w:val="20"/>
        </w:rPr>
        <w:t xml:space="preserve"> </w:t>
      </w:r>
      <w:r w:rsidRPr="00AB0A7C">
        <w:rPr>
          <w:i/>
        </w:rPr>
        <w:t>Id</w:t>
      </w:r>
      <w:r>
        <w:t>.</w:t>
      </w:r>
    </w:p>
  </w:footnote>
  <w:footnote w:id="152">
    <w:p w14:paraId="479F6876" w14:textId="7A5432FC" w:rsidR="009E62A3" w:rsidRPr="005340C0" w:rsidRDefault="009E62A3" w:rsidP="00B91E24">
      <w:pPr>
        <w:pStyle w:val="FootnoteText"/>
        <w:ind w:left="360" w:right="270"/>
        <w:jc w:val="both"/>
        <w:rPr>
          <w:szCs w:val="20"/>
        </w:rPr>
      </w:pPr>
      <w:r w:rsidRPr="005340C0">
        <w:rPr>
          <w:rStyle w:val="FootnoteReference"/>
          <w:szCs w:val="20"/>
        </w:rPr>
        <w:footnoteRef/>
      </w:r>
      <w:r>
        <w:rPr>
          <w:i/>
          <w:szCs w:val="20"/>
        </w:rPr>
        <w:t>The Day in Indiana</w:t>
      </w:r>
      <w:r w:rsidRPr="005340C0">
        <w:rPr>
          <w:szCs w:val="20"/>
        </w:rPr>
        <w:t>,</w:t>
      </w:r>
      <w:r>
        <w:rPr>
          <w:szCs w:val="20"/>
        </w:rPr>
        <w:t xml:space="preserve"> </w:t>
      </w:r>
      <w:r w:rsidRPr="005F5300">
        <w:rPr>
          <w:smallCaps/>
          <w:szCs w:val="20"/>
        </w:rPr>
        <w:t>Indpls Star</w:t>
      </w:r>
      <w:r>
        <w:rPr>
          <w:szCs w:val="20"/>
        </w:rPr>
        <w:t xml:space="preserve">, Jul. 29, 1945, at 1, </w:t>
      </w:r>
      <w:r w:rsidRPr="001E0ADB">
        <w:rPr>
          <w:i/>
          <w:szCs w:val="20"/>
        </w:rPr>
        <w:t>microfilm scan available at</w:t>
      </w:r>
      <w:r>
        <w:rPr>
          <w:szCs w:val="20"/>
        </w:rPr>
        <w:t xml:space="preserve"> </w:t>
      </w:r>
      <w:r w:rsidRPr="001E0ADB">
        <w:rPr>
          <w:szCs w:val="20"/>
        </w:rPr>
        <w:t>https://goo.gl/vuMPZ9</w:t>
      </w:r>
      <w:r>
        <w:rPr>
          <w:szCs w:val="20"/>
        </w:rPr>
        <w:t>.</w:t>
      </w:r>
    </w:p>
  </w:footnote>
  <w:footnote w:id="153">
    <w:p w14:paraId="713A1B4A" w14:textId="320735E2" w:rsidR="009E62A3" w:rsidRDefault="009E62A3" w:rsidP="00E41CB8">
      <w:pPr>
        <w:pStyle w:val="FootnoteText"/>
        <w:ind w:left="360"/>
      </w:pPr>
      <w:r>
        <w:rPr>
          <w:rStyle w:val="FootnoteReference"/>
        </w:rPr>
        <w:footnoteRef/>
      </w:r>
      <w:r>
        <w:t xml:space="preserve"> 1929 Geneva Convention I, </w:t>
      </w:r>
      <w:r w:rsidRPr="00BB4910">
        <w:rPr>
          <w:i/>
          <w:iCs/>
          <w:szCs w:val="20"/>
        </w:rPr>
        <w:t>supra</w:t>
      </w:r>
      <w:r w:rsidRPr="00BB4910">
        <w:rPr>
          <w:szCs w:val="20"/>
        </w:rPr>
        <w:t> </w:t>
      </w:r>
      <w:r>
        <w:rPr>
          <w:szCs w:val="20"/>
        </w:rPr>
        <w:t>note 17, at art. 86.</w:t>
      </w:r>
    </w:p>
  </w:footnote>
  <w:footnote w:id="154">
    <w:p w14:paraId="19D27C94" w14:textId="173D9012"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t xml:space="preserve">Arbuckle, </w:t>
      </w:r>
      <w:r w:rsidRPr="00BB4910">
        <w:rPr>
          <w:i/>
          <w:iCs/>
          <w:szCs w:val="20"/>
        </w:rPr>
        <w:t>supra</w:t>
      </w:r>
      <w:r w:rsidRPr="00BB4910">
        <w:rPr>
          <w:szCs w:val="20"/>
        </w:rPr>
        <w:t> </w:t>
      </w:r>
      <w:r>
        <w:rPr>
          <w:szCs w:val="20"/>
        </w:rPr>
        <w:t xml:space="preserve">note 7, at 41. </w:t>
      </w:r>
      <w:r w:rsidRPr="00EE31B6">
        <w:rPr>
          <w:i/>
          <w:szCs w:val="20"/>
        </w:rPr>
        <w:t>See also</w:t>
      </w:r>
      <w:r>
        <w:rPr>
          <w:szCs w:val="20"/>
        </w:rPr>
        <w:t xml:space="preserve"> </w:t>
      </w:r>
      <w:r>
        <w:rPr>
          <w:i/>
        </w:rPr>
        <w:t>Provost Marshall General Visits PW Camp</w:t>
      </w:r>
      <w:r>
        <w:t xml:space="preserve">, </w:t>
      </w:r>
      <w:r>
        <w:rPr>
          <w:szCs w:val="20"/>
        </w:rPr>
        <w:t xml:space="preserve">1 </w:t>
      </w:r>
      <w:r w:rsidRPr="008A0D12">
        <w:rPr>
          <w:smallCaps/>
          <w:szCs w:val="20"/>
        </w:rPr>
        <w:t>Camp Crier</w:t>
      </w:r>
      <w:r>
        <w:rPr>
          <w:szCs w:val="20"/>
        </w:rPr>
        <w:t>, no. 20</w:t>
      </w:r>
      <w:r w:rsidRPr="008A0D12">
        <w:rPr>
          <w:szCs w:val="20"/>
        </w:rPr>
        <w:t xml:space="preserve">, </w:t>
      </w:r>
      <w:r>
        <w:rPr>
          <w:szCs w:val="20"/>
        </w:rPr>
        <w:t xml:space="preserve">July 16, 1943, at 1, </w:t>
      </w:r>
      <w:r w:rsidRPr="00EE31B6">
        <w:rPr>
          <w:i/>
          <w:szCs w:val="20"/>
        </w:rPr>
        <w:t>available at</w:t>
      </w:r>
      <w:r>
        <w:rPr>
          <w:szCs w:val="20"/>
        </w:rPr>
        <w:t xml:space="preserve"> </w:t>
      </w:r>
      <w:r w:rsidRPr="00EE31B6">
        <w:rPr>
          <w:szCs w:val="20"/>
        </w:rPr>
        <w:t>https://goo.gl/H4T1Ri</w:t>
      </w:r>
      <w:r>
        <w:rPr>
          <w:szCs w:val="20"/>
        </w:rPr>
        <w:t>.</w:t>
      </w:r>
    </w:p>
  </w:footnote>
  <w:footnote w:id="155">
    <w:p w14:paraId="3B02025F" w14:textId="663E980C"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smallCaps/>
          <w:szCs w:val="20"/>
        </w:rPr>
        <w:t xml:space="preserve">Krammer, </w:t>
      </w:r>
      <w:r w:rsidRPr="00BB4910">
        <w:rPr>
          <w:i/>
          <w:iCs/>
          <w:szCs w:val="20"/>
        </w:rPr>
        <w:t>supra</w:t>
      </w:r>
      <w:r w:rsidRPr="00BB4910">
        <w:rPr>
          <w:szCs w:val="20"/>
        </w:rPr>
        <w:t> </w:t>
      </w:r>
      <w:r>
        <w:rPr>
          <w:szCs w:val="20"/>
        </w:rPr>
        <w:t>note 24,</w:t>
      </w:r>
      <w:r w:rsidRPr="00BB4910">
        <w:rPr>
          <w:szCs w:val="20"/>
        </w:rPr>
        <w:t xml:space="preserve"> at</w:t>
      </w:r>
      <w:r>
        <w:rPr>
          <w:szCs w:val="20"/>
        </w:rPr>
        <w:t xml:space="preserve"> </w:t>
      </w:r>
      <w:r w:rsidRPr="005340C0">
        <w:rPr>
          <w:szCs w:val="20"/>
        </w:rPr>
        <w:t>37-38.</w:t>
      </w:r>
    </w:p>
  </w:footnote>
  <w:footnote w:id="156">
    <w:p w14:paraId="206F49BB" w14:textId="449E59BC" w:rsidR="009E62A3" w:rsidRPr="001E7363" w:rsidRDefault="009E62A3" w:rsidP="001E7363">
      <w:pPr>
        <w:pStyle w:val="FootnoteText"/>
        <w:ind w:left="360" w:right="360"/>
        <w:jc w:val="both"/>
      </w:pPr>
      <w:r>
        <w:rPr>
          <w:rStyle w:val="FootnoteReference"/>
        </w:rPr>
        <w:footnoteRef/>
      </w:r>
      <w:r>
        <w:t xml:space="preserve"> </w:t>
      </w:r>
      <w:r w:rsidRPr="001E7363">
        <w:rPr>
          <w:smallCaps/>
          <w:szCs w:val="20"/>
        </w:rPr>
        <w:t>Charles Stenger, Veterans Health Services and Research Administration, Dep’t of Veterans Affairs Advisory Committee on Former Prisoners of War, American Prisoners of War in WWI, WWII, Korea, Vietnam, Persian Gulf, and Somalia: Statistical Data Concerning Numbers Captured, Repatriated and Still Alive as of January 1, 1999</w:t>
      </w:r>
      <w:r>
        <w:rPr>
          <w:bCs/>
        </w:rPr>
        <w:t xml:space="preserve"> (2000), </w:t>
      </w:r>
      <w:r w:rsidRPr="001E7363">
        <w:rPr>
          <w:bCs/>
          <w:i/>
        </w:rPr>
        <w:t>available at</w:t>
      </w:r>
      <w:r>
        <w:rPr>
          <w:bCs/>
        </w:rPr>
        <w:t xml:space="preserve"> </w:t>
      </w:r>
      <w:r w:rsidRPr="001E7363">
        <w:rPr>
          <w:bCs/>
        </w:rPr>
        <w:t>http://www.angel45-2b.com/statistics.html</w:t>
      </w:r>
      <w:r>
        <w:rPr>
          <w:bCs/>
        </w:rPr>
        <w:t>.</w:t>
      </w:r>
    </w:p>
  </w:footnote>
  <w:footnote w:id="157">
    <w:p w14:paraId="6621E4DC" w14:textId="41A990AD" w:rsidR="009E62A3" w:rsidRDefault="009E62A3" w:rsidP="00B113CF">
      <w:pPr>
        <w:pStyle w:val="FootnoteText"/>
        <w:ind w:left="360" w:right="360"/>
        <w:jc w:val="both"/>
      </w:pPr>
      <w:r>
        <w:rPr>
          <w:rStyle w:val="FootnoteReference"/>
        </w:rPr>
        <w:footnoteRef/>
      </w:r>
      <w:r>
        <w:t xml:space="preserve"> </w:t>
      </w:r>
      <w:r w:rsidRPr="003114E1">
        <w:rPr>
          <w:szCs w:val="20"/>
        </w:rPr>
        <w:t xml:space="preserve">Letter from </w:t>
      </w:r>
      <w:r>
        <w:rPr>
          <w:szCs w:val="20"/>
        </w:rPr>
        <w:t>Bruce D. Gribben</w:t>
      </w:r>
      <w:r w:rsidRPr="003114E1">
        <w:rPr>
          <w:szCs w:val="20"/>
        </w:rPr>
        <w:t xml:space="preserve"> to </w:t>
      </w:r>
      <w:r>
        <w:rPr>
          <w:szCs w:val="20"/>
        </w:rPr>
        <w:t>Family (Sept. 17, 1943</w:t>
      </w:r>
      <w:r w:rsidRPr="003114E1">
        <w:rPr>
          <w:szCs w:val="20"/>
        </w:rPr>
        <w:t>), </w:t>
      </w:r>
      <w:r w:rsidRPr="003114E1">
        <w:rPr>
          <w:i/>
          <w:iCs/>
          <w:szCs w:val="20"/>
        </w:rPr>
        <w:t>in</w:t>
      </w:r>
      <w:r w:rsidRPr="003114E1">
        <w:rPr>
          <w:szCs w:val="20"/>
        </w:rPr>
        <w:t> </w:t>
      </w:r>
      <w:r w:rsidRPr="003114E1">
        <w:rPr>
          <w:smallCaps/>
          <w:szCs w:val="20"/>
        </w:rPr>
        <w:t>Letters from Fighting Hoosiers</w:t>
      </w:r>
      <w:r>
        <w:rPr>
          <w:szCs w:val="20"/>
        </w:rPr>
        <w:t>, 150, 150</w:t>
      </w:r>
      <w:r w:rsidRPr="003114E1">
        <w:rPr>
          <w:szCs w:val="20"/>
        </w:rPr>
        <w:t xml:space="preserve"> (How</w:t>
      </w:r>
      <w:r>
        <w:rPr>
          <w:szCs w:val="20"/>
        </w:rPr>
        <w:t>ard Peckham &amp; Shirley A. Snyder</w:t>
      </w:r>
      <w:r w:rsidRPr="003114E1">
        <w:rPr>
          <w:szCs w:val="20"/>
        </w:rPr>
        <w:t xml:space="preserve"> eds.</w:t>
      </w:r>
      <w:r>
        <w:rPr>
          <w:szCs w:val="20"/>
        </w:rPr>
        <w:t>,</w:t>
      </w:r>
      <w:r w:rsidRPr="003114E1">
        <w:rPr>
          <w:szCs w:val="20"/>
        </w:rPr>
        <w:t xml:space="preserve"> 1948).</w:t>
      </w:r>
    </w:p>
  </w:footnote>
  <w:footnote w:id="158">
    <w:p w14:paraId="25369D2B" w14:textId="4097A066" w:rsidR="009E62A3" w:rsidRDefault="009E62A3" w:rsidP="00B113CF">
      <w:pPr>
        <w:pStyle w:val="FootnoteText"/>
        <w:ind w:left="360" w:right="360"/>
        <w:jc w:val="both"/>
      </w:pPr>
      <w:r>
        <w:rPr>
          <w:rStyle w:val="FootnoteReference"/>
        </w:rPr>
        <w:footnoteRef/>
      </w:r>
      <w:r>
        <w:t xml:space="preserve"> </w:t>
      </w:r>
      <w:r w:rsidRPr="00DF00FE">
        <w:rPr>
          <w:i/>
        </w:rPr>
        <w:t>Id</w:t>
      </w:r>
      <w:r>
        <w:t>.</w:t>
      </w:r>
    </w:p>
  </w:footnote>
  <w:footnote w:id="159">
    <w:p w14:paraId="261B2D0A" w14:textId="12BC2F63" w:rsidR="009E62A3" w:rsidRDefault="009E62A3" w:rsidP="00B113CF">
      <w:pPr>
        <w:pStyle w:val="FootnoteText"/>
        <w:ind w:left="360" w:right="360"/>
        <w:jc w:val="both"/>
      </w:pPr>
      <w:r>
        <w:rPr>
          <w:rStyle w:val="FootnoteReference"/>
        </w:rPr>
        <w:footnoteRef/>
      </w:r>
      <w:r>
        <w:t xml:space="preserve"> </w:t>
      </w:r>
      <w:r w:rsidRPr="00DF00FE">
        <w:rPr>
          <w:i/>
        </w:rPr>
        <w:t>Id</w:t>
      </w:r>
      <w:r>
        <w:t>.</w:t>
      </w:r>
    </w:p>
  </w:footnote>
  <w:footnote w:id="160">
    <w:p w14:paraId="5B3C49D0" w14:textId="19A54425" w:rsidR="009E62A3" w:rsidRDefault="009E62A3" w:rsidP="00B91E24">
      <w:pPr>
        <w:pStyle w:val="FootnoteText"/>
        <w:ind w:left="360" w:right="270"/>
        <w:jc w:val="both"/>
      </w:pPr>
      <w:r>
        <w:rPr>
          <w:rStyle w:val="FootnoteReference"/>
        </w:rPr>
        <w:footnoteRef/>
      </w:r>
      <w:r>
        <w:t xml:space="preserve"> </w:t>
      </w:r>
      <w:r w:rsidRPr="00DF00FE">
        <w:rPr>
          <w:i/>
        </w:rPr>
        <w:t>Id</w:t>
      </w:r>
      <w:r>
        <w:t>.</w:t>
      </w:r>
    </w:p>
  </w:footnote>
  <w:footnote w:id="161">
    <w:p w14:paraId="5721D0B9" w14:textId="7433F3D0" w:rsidR="009E62A3" w:rsidRPr="005340C0" w:rsidRDefault="009E62A3" w:rsidP="00B91E24">
      <w:pPr>
        <w:pStyle w:val="FootnoteText"/>
        <w:ind w:left="360" w:right="270"/>
        <w:jc w:val="both"/>
        <w:rPr>
          <w:szCs w:val="20"/>
        </w:rPr>
      </w:pPr>
      <w:r w:rsidRPr="005340C0">
        <w:rPr>
          <w:rStyle w:val="FootnoteReference"/>
          <w:szCs w:val="20"/>
        </w:rPr>
        <w:footnoteRef/>
      </w:r>
      <w:r w:rsidRPr="005340C0">
        <w:rPr>
          <w:szCs w:val="20"/>
        </w:rPr>
        <w:t xml:space="preserve"> </w:t>
      </w:r>
      <w:r w:rsidRPr="00DF00FE">
        <w:rPr>
          <w:i/>
        </w:rPr>
        <w:t>Id</w:t>
      </w:r>
      <w:r>
        <w:t>.</w:t>
      </w:r>
    </w:p>
  </w:footnote>
  <w:footnote w:id="162">
    <w:p w14:paraId="47513DB8" w14:textId="1014F8BF" w:rsidR="009E62A3" w:rsidRPr="005340C0" w:rsidRDefault="009E62A3" w:rsidP="00B91E24">
      <w:pPr>
        <w:pStyle w:val="FootnoteText"/>
        <w:ind w:left="360" w:right="270"/>
        <w:jc w:val="both"/>
        <w:rPr>
          <w:szCs w:val="20"/>
        </w:rPr>
      </w:pPr>
      <w:r w:rsidRPr="005340C0">
        <w:rPr>
          <w:rStyle w:val="FootnoteReference"/>
          <w:szCs w:val="20"/>
        </w:rPr>
        <w:footnoteRef/>
      </w:r>
      <w:r w:rsidRPr="005340C0">
        <w:rPr>
          <w:szCs w:val="20"/>
        </w:rPr>
        <w:t xml:space="preserve"> </w:t>
      </w:r>
      <w:r w:rsidRPr="005E5051">
        <w:rPr>
          <w:smallCaps/>
          <w:szCs w:val="20"/>
        </w:rPr>
        <w:t>1 Int’l Comm. of the Red Cross, Report of the International Committee of the Red Cross on Its Activities During the Second World War</w:t>
      </w:r>
      <w:r w:rsidRPr="005340C0">
        <w:rPr>
          <w:szCs w:val="20"/>
        </w:rPr>
        <w:t xml:space="preserve"> 232</w:t>
      </w:r>
      <w:r>
        <w:rPr>
          <w:szCs w:val="20"/>
        </w:rPr>
        <w:t xml:space="preserve"> (1948), </w:t>
      </w:r>
      <w:r w:rsidRPr="00DE27D7">
        <w:rPr>
          <w:i/>
          <w:szCs w:val="20"/>
        </w:rPr>
        <w:t>available at</w:t>
      </w:r>
      <w:r>
        <w:rPr>
          <w:szCs w:val="20"/>
        </w:rPr>
        <w:t xml:space="preserve"> </w:t>
      </w:r>
      <w:r w:rsidRPr="00DE27D7">
        <w:rPr>
          <w:szCs w:val="20"/>
        </w:rPr>
        <w:t>https://goo.gl/t4XJ3z</w:t>
      </w:r>
      <w:r>
        <w:rPr>
          <w:szCs w:val="20"/>
        </w:rPr>
        <w:t>.</w:t>
      </w:r>
    </w:p>
  </w:footnote>
  <w:footnote w:id="163">
    <w:p w14:paraId="12B9A6FF" w14:textId="466A76C0" w:rsidR="009E62A3" w:rsidRPr="005340C0" w:rsidRDefault="009E62A3" w:rsidP="00B91E24">
      <w:pPr>
        <w:pStyle w:val="FootnoteText"/>
        <w:ind w:left="360" w:right="270"/>
        <w:jc w:val="both"/>
        <w:rPr>
          <w:szCs w:val="20"/>
        </w:rPr>
      </w:pPr>
      <w:r w:rsidRPr="005340C0">
        <w:rPr>
          <w:rStyle w:val="FootnoteReference"/>
          <w:szCs w:val="20"/>
        </w:rPr>
        <w:footnoteRef/>
      </w:r>
      <w:r w:rsidRPr="005340C0">
        <w:rPr>
          <w:szCs w:val="20"/>
        </w:rPr>
        <w:t xml:space="preserve"> </w:t>
      </w:r>
      <w:r w:rsidRPr="00DF00FE">
        <w:rPr>
          <w:i/>
        </w:rPr>
        <w:t>Id</w:t>
      </w:r>
      <w:r>
        <w:t xml:space="preserve">. at </w:t>
      </w:r>
      <w:r w:rsidRPr="005340C0">
        <w:rPr>
          <w:szCs w:val="20"/>
        </w:rPr>
        <w:t>232-33.</w:t>
      </w:r>
    </w:p>
  </w:footnote>
  <w:footnote w:id="164">
    <w:p w14:paraId="421BA12A" w14:textId="4584F871" w:rsidR="009E62A3" w:rsidRDefault="009E62A3" w:rsidP="00B91E24">
      <w:pPr>
        <w:pStyle w:val="FootnoteText"/>
        <w:ind w:left="360" w:right="270"/>
        <w:jc w:val="both"/>
      </w:pPr>
      <w:r>
        <w:rPr>
          <w:rStyle w:val="FootnoteReference"/>
        </w:rPr>
        <w:footnoteRef/>
      </w:r>
      <w:r>
        <w:t xml:space="preserve"> </w:t>
      </w:r>
      <w:r>
        <w:rPr>
          <w:szCs w:val="20"/>
        </w:rPr>
        <w:t xml:space="preserve">Schnyder Report, </w:t>
      </w:r>
      <w:r w:rsidRPr="00CD39E9">
        <w:rPr>
          <w:i/>
          <w:szCs w:val="20"/>
        </w:rPr>
        <w:t>supra</w:t>
      </w:r>
      <w:r>
        <w:rPr>
          <w:szCs w:val="20"/>
        </w:rPr>
        <w:t xml:space="preserve"> note 140.</w:t>
      </w:r>
    </w:p>
  </w:footnote>
  <w:footnote w:id="165">
    <w:p w14:paraId="4DC5F267" w14:textId="43ABB33B" w:rsidR="009E62A3" w:rsidRDefault="009E62A3" w:rsidP="00B91E24">
      <w:pPr>
        <w:pStyle w:val="FootnoteText"/>
        <w:ind w:left="360" w:right="270"/>
        <w:jc w:val="both"/>
      </w:pPr>
      <w:r>
        <w:rPr>
          <w:rStyle w:val="FootnoteReference"/>
        </w:rPr>
        <w:footnoteRef/>
      </w:r>
      <w:r>
        <w:t xml:space="preserve"> </w:t>
      </w:r>
      <w:r>
        <w:rPr>
          <w:szCs w:val="20"/>
        </w:rPr>
        <w:t xml:space="preserve">Inspection Report on Camp Atterbury </w:t>
      </w:r>
      <w:r w:rsidRPr="008D554C">
        <w:rPr>
          <w:szCs w:val="20"/>
        </w:rPr>
        <w:t xml:space="preserve">by </w:t>
      </w:r>
      <w:r w:rsidRPr="00155DA1">
        <w:rPr>
          <w:szCs w:val="20"/>
        </w:rPr>
        <w:t>M. Perret</w:t>
      </w:r>
      <w:r w:rsidRPr="008D554C">
        <w:rPr>
          <w:szCs w:val="20"/>
        </w:rPr>
        <w:t xml:space="preserve">, </w:t>
      </w:r>
      <w:r>
        <w:rPr>
          <w:szCs w:val="20"/>
        </w:rPr>
        <w:t>Int’l Red Cross</w:t>
      </w:r>
      <w:r w:rsidRPr="008D554C">
        <w:rPr>
          <w:szCs w:val="20"/>
        </w:rPr>
        <w:t xml:space="preserve"> (</w:t>
      </w:r>
      <w:r>
        <w:rPr>
          <w:szCs w:val="20"/>
        </w:rPr>
        <w:t>March 24, 1944</w:t>
      </w:r>
      <w:r w:rsidRPr="008D554C">
        <w:rPr>
          <w:szCs w:val="20"/>
        </w:rPr>
        <w:t xml:space="preserve">), </w:t>
      </w:r>
      <w:r w:rsidRPr="00E8576F">
        <w:rPr>
          <w:szCs w:val="20"/>
        </w:rPr>
        <w:t>http://goo.gl/73Oxxv</w:t>
      </w:r>
      <w:r>
        <w:rPr>
          <w:szCs w:val="20"/>
        </w:rPr>
        <w:t xml:space="preserve"> (follow “Inspections” link, then “Italian POWs”)</w:t>
      </w:r>
      <w:r w:rsidRPr="008D554C">
        <w:rPr>
          <w:szCs w:val="20"/>
        </w:rPr>
        <w:t>.</w:t>
      </w:r>
    </w:p>
  </w:footnote>
  <w:footnote w:id="166">
    <w:p w14:paraId="1C4A201E" w14:textId="42847A57" w:rsidR="009E62A3" w:rsidRDefault="009E62A3" w:rsidP="00B113CF">
      <w:pPr>
        <w:pStyle w:val="FootnoteText"/>
        <w:ind w:left="360" w:right="360"/>
        <w:jc w:val="both"/>
      </w:pPr>
      <w:r>
        <w:rPr>
          <w:rStyle w:val="FootnoteReference"/>
        </w:rPr>
        <w:footnoteRef/>
      </w:r>
      <w:r>
        <w:t xml:space="preserve"> </w:t>
      </w:r>
      <w:r>
        <w:rPr>
          <w:szCs w:val="20"/>
        </w:rPr>
        <w:t xml:space="preserve">Eberhardt Report, </w:t>
      </w:r>
      <w:r w:rsidRPr="00CD39E9">
        <w:rPr>
          <w:i/>
          <w:szCs w:val="20"/>
        </w:rPr>
        <w:t>supra</w:t>
      </w:r>
      <w:r>
        <w:rPr>
          <w:szCs w:val="20"/>
        </w:rPr>
        <w:t xml:space="preserve"> note 125.</w:t>
      </w:r>
    </w:p>
  </w:footnote>
  <w:footnote w:id="167">
    <w:p w14:paraId="17ACCC65" w14:textId="2DDBAAE9" w:rsidR="009E62A3" w:rsidRDefault="009E62A3" w:rsidP="00B113CF">
      <w:pPr>
        <w:pStyle w:val="FootnoteText"/>
        <w:ind w:left="360" w:right="360"/>
        <w:jc w:val="both"/>
      </w:pPr>
      <w:r>
        <w:rPr>
          <w:rStyle w:val="FootnoteReference"/>
        </w:rPr>
        <w:footnoteRef/>
      </w:r>
      <w:r>
        <w:t xml:space="preserve"> </w:t>
      </w:r>
      <w:r w:rsidRPr="005F0E7D">
        <w:t xml:space="preserve">Inspection Report on Camp Atterbury and Branch Camps by Emil Greuter &amp; Curt Ritter, Legation of Switzerland, Department of German Interests 3 (Nov. 30-Dec. 1, 1944), </w:t>
      </w:r>
      <w:r w:rsidRPr="00E8576F">
        <w:t xml:space="preserve">http://goo.gl/73Oxxv </w:t>
      </w:r>
      <w:r w:rsidRPr="008D554C">
        <w:rPr>
          <w:szCs w:val="20"/>
        </w:rPr>
        <w:t>(</w:t>
      </w:r>
      <w:r w:rsidRPr="00687675">
        <w:rPr>
          <w:szCs w:val="20"/>
        </w:rPr>
        <w:t>follow “</w:t>
      </w:r>
      <w:r>
        <w:rPr>
          <w:szCs w:val="20"/>
        </w:rPr>
        <w:t>Inspections</w:t>
      </w:r>
      <w:r w:rsidRPr="00687675">
        <w:rPr>
          <w:szCs w:val="20"/>
        </w:rPr>
        <w:t>” link, then “</w:t>
      </w:r>
      <w:r>
        <w:rPr>
          <w:szCs w:val="20"/>
        </w:rPr>
        <w:t>German POWs</w:t>
      </w:r>
      <w:r w:rsidRPr="00687675">
        <w:rPr>
          <w:szCs w:val="20"/>
        </w:rPr>
        <w:t>”</w:t>
      </w:r>
      <w:r w:rsidRPr="008D554C">
        <w:rPr>
          <w:szCs w:val="20"/>
        </w:rPr>
        <w:t>)</w:t>
      </w:r>
      <w:r>
        <w:t>.</w:t>
      </w:r>
    </w:p>
  </w:footnote>
  <w:footnote w:id="168">
    <w:p w14:paraId="0579ECCD" w14:textId="1003B1D6" w:rsidR="009E62A3" w:rsidRDefault="009E62A3" w:rsidP="00B113CF">
      <w:pPr>
        <w:pStyle w:val="FootnoteText"/>
        <w:ind w:left="360" w:right="360"/>
        <w:jc w:val="both"/>
      </w:pPr>
      <w:r>
        <w:rPr>
          <w:rStyle w:val="FootnoteReference"/>
        </w:rPr>
        <w:footnoteRef/>
      </w:r>
      <w:r>
        <w:t xml:space="preserve"> </w:t>
      </w:r>
      <w:r w:rsidRPr="00A31025">
        <w:rPr>
          <w:i/>
        </w:rPr>
        <w:t>Id</w:t>
      </w:r>
      <w:r>
        <w:t>.</w:t>
      </w:r>
    </w:p>
  </w:footnote>
  <w:footnote w:id="169">
    <w:p w14:paraId="59348EDC" w14:textId="5BEE66FC" w:rsidR="009E62A3" w:rsidRDefault="009E62A3" w:rsidP="00B113CF">
      <w:pPr>
        <w:pStyle w:val="FootnoteText"/>
        <w:ind w:left="360" w:right="360"/>
        <w:jc w:val="both"/>
      </w:pPr>
      <w:r>
        <w:rPr>
          <w:rStyle w:val="FootnoteReference"/>
        </w:rPr>
        <w:footnoteRef/>
      </w:r>
      <w:r>
        <w:t xml:space="preserve"> </w:t>
      </w:r>
      <w:r w:rsidRPr="00A31025">
        <w:rPr>
          <w:i/>
        </w:rPr>
        <w:t>Id</w:t>
      </w:r>
      <w:r>
        <w:t>. at 3-4.</w:t>
      </w:r>
    </w:p>
  </w:footnote>
  <w:footnote w:id="170">
    <w:p w14:paraId="7EDA2368" w14:textId="5EDE9D5D" w:rsidR="009E62A3" w:rsidRDefault="009E62A3" w:rsidP="00B113CF">
      <w:pPr>
        <w:pStyle w:val="FootnoteText"/>
        <w:ind w:left="360" w:right="360"/>
        <w:jc w:val="both"/>
      </w:pPr>
      <w:r>
        <w:rPr>
          <w:rStyle w:val="FootnoteReference"/>
        </w:rPr>
        <w:footnoteRef/>
      </w:r>
      <w:r>
        <w:t xml:space="preserve"> </w:t>
      </w:r>
      <w:r w:rsidRPr="00586B48">
        <w:rPr>
          <w:i/>
        </w:rPr>
        <w:t>See</w:t>
      </w:r>
      <w:r>
        <w:t xml:space="preserve"> </w:t>
      </w:r>
      <w:r w:rsidRPr="005F0E7D">
        <w:t xml:space="preserve">Inspection Report on Camp Atterbury and Branch Camps by </w:t>
      </w:r>
      <w:r>
        <w:t>Rudolph Fischer</w:t>
      </w:r>
      <w:r w:rsidRPr="005F0E7D">
        <w:t>, Legation of Switzerland, Department of German Interests</w:t>
      </w:r>
      <w:r>
        <w:t xml:space="preserve"> &amp; Charles C. Eberhardt, U.S. Dep’t of State</w:t>
      </w:r>
      <w:r w:rsidRPr="005F0E7D">
        <w:t xml:space="preserve"> (</w:t>
      </w:r>
      <w:r>
        <w:t>May 1-2, 1945</w:t>
      </w:r>
      <w:r w:rsidRPr="005F0E7D">
        <w:t>)</w:t>
      </w:r>
      <w:r>
        <w:t xml:space="preserve"> [hereinafter Fischer &amp; Eberhardt Report]</w:t>
      </w:r>
      <w:r w:rsidRPr="005F0E7D">
        <w:t xml:space="preserve">, </w:t>
      </w:r>
      <w:r w:rsidRPr="00E8576F">
        <w:t>http://goo.gl/73Oxxv</w:t>
      </w:r>
      <w:r>
        <w:t xml:space="preserve"> (follow “Inspections” link, then “German POWs”).</w:t>
      </w:r>
    </w:p>
  </w:footnote>
  <w:footnote w:id="171">
    <w:p w14:paraId="70CE428D" w14:textId="597AB88F" w:rsidR="009E62A3" w:rsidRDefault="009E62A3" w:rsidP="00B113CF">
      <w:pPr>
        <w:pStyle w:val="FootnoteText"/>
        <w:ind w:left="360" w:right="360"/>
        <w:jc w:val="both"/>
      </w:pPr>
      <w:r>
        <w:rPr>
          <w:rStyle w:val="FootnoteReference"/>
        </w:rPr>
        <w:footnoteRef/>
      </w:r>
      <w:r>
        <w:t xml:space="preserve"> </w:t>
      </w:r>
      <w:r w:rsidRPr="00A8086D">
        <w:rPr>
          <w:smallCaps/>
          <w:szCs w:val="20"/>
        </w:rPr>
        <w:t xml:space="preserve">H.R. Rep. No. </w:t>
      </w:r>
      <w:r>
        <w:rPr>
          <w:szCs w:val="20"/>
        </w:rPr>
        <w:t xml:space="preserve">78-1992, </w:t>
      </w:r>
      <w:r w:rsidRPr="00BB4910">
        <w:rPr>
          <w:i/>
          <w:iCs/>
          <w:szCs w:val="20"/>
        </w:rPr>
        <w:t>supra</w:t>
      </w:r>
      <w:r w:rsidRPr="00BB4910">
        <w:rPr>
          <w:szCs w:val="20"/>
        </w:rPr>
        <w:t> </w:t>
      </w:r>
      <w:r>
        <w:rPr>
          <w:szCs w:val="20"/>
        </w:rPr>
        <w:t>note 112,</w:t>
      </w:r>
      <w:r w:rsidRPr="00BB4910">
        <w:rPr>
          <w:szCs w:val="20"/>
        </w:rPr>
        <w:t xml:space="preserve"> </w:t>
      </w:r>
      <w:r>
        <w:rPr>
          <w:szCs w:val="20"/>
        </w:rPr>
        <w:t>at 5.</w:t>
      </w:r>
    </w:p>
  </w:footnote>
  <w:footnote w:id="172">
    <w:p w14:paraId="621DCEAF" w14:textId="26F64BA3"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A31025">
        <w:rPr>
          <w:i/>
        </w:rPr>
        <w:t>Id</w:t>
      </w:r>
      <w:r>
        <w:t>. at 13.</w:t>
      </w:r>
    </w:p>
  </w:footnote>
  <w:footnote w:id="173">
    <w:p w14:paraId="3355541C" w14:textId="33A14867" w:rsidR="009E62A3" w:rsidRDefault="009E62A3" w:rsidP="00B113CF">
      <w:pPr>
        <w:pStyle w:val="FootnoteText"/>
        <w:ind w:left="360" w:right="360"/>
        <w:jc w:val="both"/>
      </w:pPr>
      <w:r>
        <w:rPr>
          <w:rStyle w:val="FootnoteReference"/>
        </w:rPr>
        <w:footnoteRef/>
      </w:r>
      <w:r>
        <w:t xml:space="preserve"> </w:t>
      </w:r>
      <w:r w:rsidRPr="00A31025">
        <w:rPr>
          <w:i/>
        </w:rPr>
        <w:t>Id</w:t>
      </w:r>
      <w:r>
        <w:t>. at 15.</w:t>
      </w:r>
    </w:p>
  </w:footnote>
  <w:footnote w:id="174">
    <w:p w14:paraId="5DCA5393" w14:textId="487F8BE2" w:rsidR="009E62A3" w:rsidRDefault="009E62A3" w:rsidP="00B113CF">
      <w:pPr>
        <w:pStyle w:val="FootnoteText"/>
        <w:ind w:left="360" w:right="360"/>
        <w:jc w:val="both"/>
      </w:pPr>
      <w:r>
        <w:rPr>
          <w:rStyle w:val="FootnoteReference"/>
        </w:rPr>
        <w:footnoteRef/>
      </w:r>
      <w:r>
        <w:t xml:space="preserve"> </w:t>
      </w:r>
      <w:r w:rsidRPr="005926D6">
        <w:rPr>
          <w:i/>
          <w:szCs w:val="20"/>
        </w:rPr>
        <w:t>Eden for Enemy Prisoners</w:t>
      </w:r>
      <w:r w:rsidRPr="005340C0">
        <w:rPr>
          <w:szCs w:val="20"/>
        </w:rPr>
        <w:t xml:space="preserve">, </w:t>
      </w:r>
      <w:r w:rsidRPr="00F85FEF">
        <w:rPr>
          <w:smallCaps/>
          <w:szCs w:val="20"/>
        </w:rPr>
        <w:t>Indpls Star</w:t>
      </w:r>
      <w:r>
        <w:rPr>
          <w:szCs w:val="20"/>
        </w:rPr>
        <w:t xml:space="preserve"> (Feb. 5, 1944), </w:t>
      </w:r>
      <w:r w:rsidRPr="00E8576F">
        <w:t xml:space="preserve">http://goo.gl/73Oxxv </w:t>
      </w:r>
      <w:r w:rsidRPr="008D554C">
        <w:rPr>
          <w:szCs w:val="20"/>
        </w:rPr>
        <w:t>(</w:t>
      </w:r>
      <w:r w:rsidRPr="00687675">
        <w:rPr>
          <w:szCs w:val="20"/>
        </w:rPr>
        <w:t>follow “</w:t>
      </w:r>
      <w:r>
        <w:rPr>
          <w:szCs w:val="20"/>
        </w:rPr>
        <w:t>Articles” link</w:t>
      </w:r>
      <w:r w:rsidRPr="008D554C">
        <w:rPr>
          <w:szCs w:val="20"/>
        </w:rPr>
        <w:t>)</w:t>
      </w:r>
      <w:r>
        <w:rPr>
          <w:szCs w:val="20"/>
        </w:rPr>
        <w:t>.</w:t>
      </w:r>
    </w:p>
  </w:footnote>
  <w:footnote w:id="175">
    <w:p w14:paraId="7C9A27C3" w14:textId="0284D079" w:rsidR="009E62A3" w:rsidRPr="005926D6"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i/>
          <w:szCs w:val="20"/>
        </w:rPr>
        <w:t>Id</w:t>
      </w:r>
      <w:r>
        <w:rPr>
          <w:szCs w:val="20"/>
        </w:rPr>
        <w:t>.</w:t>
      </w:r>
    </w:p>
  </w:footnote>
  <w:footnote w:id="176">
    <w:p w14:paraId="2F6F72D9" w14:textId="48237499" w:rsidR="009E62A3" w:rsidRDefault="009E62A3" w:rsidP="00B113CF">
      <w:pPr>
        <w:pStyle w:val="FootnoteText"/>
        <w:ind w:left="360" w:right="360"/>
        <w:jc w:val="both"/>
      </w:pPr>
      <w:r>
        <w:rPr>
          <w:rStyle w:val="FootnoteReference"/>
        </w:rPr>
        <w:footnoteRef/>
      </w:r>
      <w:r>
        <w:t xml:space="preserve"> </w:t>
      </w:r>
      <w:r w:rsidRPr="00155DA1">
        <w:rPr>
          <w:szCs w:val="20"/>
        </w:rPr>
        <w:t>Joseph Cummins</w:t>
      </w:r>
      <w:r>
        <w:rPr>
          <w:szCs w:val="20"/>
        </w:rPr>
        <w:t>,</w:t>
      </w:r>
      <w:r w:rsidRPr="00155DA1">
        <w:rPr>
          <w:szCs w:val="20"/>
        </w:rPr>
        <w:t xml:space="preserve"> </w:t>
      </w:r>
      <w:r w:rsidRPr="00155DA1">
        <w:rPr>
          <w:i/>
          <w:szCs w:val="20"/>
        </w:rPr>
        <w:t>65 Years Later: The Malmedy Massacre, December 17, 1944</w:t>
      </w:r>
      <w:r>
        <w:rPr>
          <w:szCs w:val="20"/>
        </w:rPr>
        <w:t xml:space="preserve">, </w:t>
      </w:r>
      <w:r w:rsidRPr="00155DA1">
        <w:rPr>
          <w:smallCaps/>
          <w:szCs w:val="20"/>
        </w:rPr>
        <w:t>History New Network</w:t>
      </w:r>
      <w:r>
        <w:rPr>
          <w:szCs w:val="20"/>
        </w:rPr>
        <w:t xml:space="preserve">, (Dec. 7, 2009), </w:t>
      </w:r>
      <w:r w:rsidRPr="00155DA1">
        <w:rPr>
          <w:szCs w:val="20"/>
        </w:rPr>
        <w:t>http://historynewsnetwork.org/article/120359</w:t>
      </w:r>
      <w:r>
        <w:rPr>
          <w:szCs w:val="20"/>
        </w:rPr>
        <w:t>.</w:t>
      </w:r>
    </w:p>
  </w:footnote>
  <w:footnote w:id="177">
    <w:p w14:paraId="4B6CDC69" w14:textId="6F6D46CC" w:rsidR="009E62A3" w:rsidRDefault="009E62A3" w:rsidP="00B113CF">
      <w:pPr>
        <w:pStyle w:val="FootnoteText"/>
        <w:ind w:left="360" w:right="360"/>
        <w:jc w:val="both"/>
      </w:pPr>
      <w:r>
        <w:rPr>
          <w:rStyle w:val="FootnoteReference"/>
        </w:rPr>
        <w:footnoteRef/>
      </w:r>
      <w:r>
        <w:t xml:space="preserve"> </w:t>
      </w:r>
      <w:r w:rsidRPr="00E20944">
        <w:t>Letter from Kurt Vonnegut</w:t>
      </w:r>
      <w:r>
        <w:t xml:space="preserve">, Jr., to Family (May 29, 1945), </w:t>
      </w:r>
      <w:r w:rsidRPr="006259FB">
        <w:rPr>
          <w:i/>
        </w:rPr>
        <w:t>available at</w:t>
      </w:r>
      <w:r>
        <w:t xml:space="preserve"> </w:t>
      </w:r>
      <w:r w:rsidRPr="006259FB">
        <w:t>https://archive.org/stream/KurtVonnegut1945LetterToFamily/VonnegutLetterHome</w:t>
      </w:r>
      <w:r>
        <w:t xml:space="preserve">. Vonnegut’s time as a POW in Germany would become the basis for one of his most prominent works of literary fiction; </w:t>
      </w:r>
      <w:r w:rsidRPr="00E20944">
        <w:rPr>
          <w:i/>
        </w:rPr>
        <w:t>see</w:t>
      </w:r>
      <w:r>
        <w:t xml:space="preserve"> </w:t>
      </w:r>
      <w:r w:rsidRPr="00E20944">
        <w:rPr>
          <w:smallCaps/>
          <w:szCs w:val="20"/>
        </w:rPr>
        <w:t>Vonnegut,</w:t>
      </w:r>
      <w:r>
        <w:rPr>
          <w:smallCaps/>
          <w:szCs w:val="20"/>
        </w:rPr>
        <w:t xml:space="preserve"> Jr.,</w:t>
      </w:r>
      <w:r w:rsidRPr="00E20944">
        <w:rPr>
          <w:smallCaps/>
          <w:szCs w:val="20"/>
        </w:rPr>
        <w:t xml:space="preserve"> Slaughter-House Five, Or The Children’s Crusade</w:t>
      </w:r>
      <w:r>
        <w:t xml:space="preserve"> (1969). </w:t>
      </w:r>
    </w:p>
  </w:footnote>
  <w:footnote w:id="178">
    <w:p w14:paraId="1F2D068E" w14:textId="18277842" w:rsidR="009E62A3" w:rsidRDefault="009E62A3" w:rsidP="00B113CF">
      <w:pPr>
        <w:pStyle w:val="FootnoteText"/>
        <w:ind w:left="360" w:right="360"/>
        <w:jc w:val="both"/>
      </w:pPr>
      <w:r>
        <w:rPr>
          <w:rStyle w:val="FootnoteReference"/>
        </w:rPr>
        <w:footnoteRef/>
      </w:r>
      <w:r>
        <w:t xml:space="preserve"> </w:t>
      </w:r>
      <w:r w:rsidRPr="00E20944">
        <w:t>Letter from Kurt Vonnegut</w:t>
      </w:r>
      <w:r>
        <w:t xml:space="preserve">, Jr., </w:t>
      </w:r>
      <w:r w:rsidRPr="00BB4910">
        <w:rPr>
          <w:i/>
          <w:iCs/>
          <w:szCs w:val="20"/>
        </w:rPr>
        <w:t>supra</w:t>
      </w:r>
      <w:r w:rsidRPr="00BB4910">
        <w:rPr>
          <w:szCs w:val="20"/>
        </w:rPr>
        <w:t> </w:t>
      </w:r>
      <w:r>
        <w:rPr>
          <w:szCs w:val="20"/>
        </w:rPr>
        <w:t>note 176, at 2.</w:t>
      </w:r>
    </w:p>
  </w:footnote>
  <w:footnote w:id="179">
    <w:p w14:paraId="79AEFBC5" w14:textId="73713759" w:rsidR="009E62A3" w:rsidRDefault="009E62A3" w:rsidP="00A309EB">
      <w:pPr>
        <w:pStyle w:val="FootnoteText"/>
        <w:ind w:left="360" w:right="360"/>
        <w:jc w:val="both"/>
      </w:pPr>
      <w:r>
        <w:rPr>
          <w:rStyle w:val="FootnoteReference"/>
        </w:rPr>
        <w:footnoteRef/>
      </w:r>
      <w:r>
        <w:t xml:space="preserve"> </w:t>
      </w:r>
      <w:r>
        <w:rPr>
          <w:i/>
          <w:iCs/>
        </w:rPr>
        <w:t>Radio News Broadcast of Walter Winchell</w:t>
      </w:r>
      <w:r w:rsidRPr="00A309EB">
        <w:t>, </w:t>
      </w:r>
      <w:r w:rsidRPr="00F85FEF">
        <w:rPr>
          <w:smallCaps/>
          <w:szCs w:val="20"/>
        </w:rPr>
        <w:t>NBC News</w:t>
      </w:r>
      <w:r>
        <w:t xml:space="preserve"> (April 29, 1945</w:t>
      </w:r>
      <w:r w:rsidRPr="00A309EB">
        <w:t>),</w:t>
      </w:r>
      <w:r>
        <w:t xml:space="preserve"> </w:t>
      </w:r>
      <w:r>
        <w:rPr>
          <w:i/>
        </w:rPr>
        <w:t>digitized</w:t>
      </w:r>
      <w:r w:rsidRPr="00F85FEF">
        <w:rPr>
          <w:i/>
        </w:rPr>
        <w:t xml:space="preserve"> at</w:t>
      </w:r>
      <w:r w:rsidRPr="00A309EB">
        <w:t> </w:t>
      </w:r>
      <w:r w:rsidRPr="00F85FEF">
        <w:t>https://soundcloud.com/ryan-schwier/1945-04-29-nbc-jergens-journal-walter-winchell</w:t>
      </w:r>
      <w:r>
        <w:t>.</w:t>
      </w:r>
    </w:p>
  </w:footnote>
  <w:footnote w:id="180">
    <w:p w14:paraId="61D20FC7" w14:textId="2B12C4B4" w:rsidR="009E62A3" w:rsidRDefault="009E62A3" w:rsidP="00B113CF">
      <w:pPr>
        <w:pStyle w:val="FootnoteText"/>
        <w:ind w:left="360" w:right="360"/>
        <w:jc w:val="both"/>
      </w:pPr>
      <w:r>
        <w:rPr>
          <w:rStyle w:val="FootnoteReference"/>
        </w:rPr>
        <w:footnoteRef/>
      </w:r>
      <w:r>
        <w:t xml:space="preserve"> Fischer &amp; Eberhardt Report, </w:t>
      </w:r>
      <w:r w:rsidRPr="00BB4910">
        <w:rPr>
          <w:i/>
          <w:iCs/>
          <w:szCs w:val="20"/>
        </w:rPr>
        <w:t>supra</w:t>
      </w:r>
      <w:r w:rsidRPr="00BB4910">
        <w:rPr>
          <w:szCs w:val="20"/>
        </w:rPr>
        <w:t> </w:t>
      </w:r>
      <w:r>
        <w:rPr>
          <w:szCs w:val="20"/>
        </w:rPr>
        <w:t>note 169.</w:t>
      </w:r>
    </w:p>
  </w:footnote>
  <w:footnote w:id="181">
    <w:p w14:paraId="267044D0" w14:textId="2A6EB1CF" w:rsidR="009E62A3" w:rsidRDefault="009E62A3" w:rsidP="00B113CF">
      <w:pPr>
        <w:pStyle w:val="FootnoteText"/>
        <w:ind w:left="360" w:right="360"/>
        <w:jc w:val="both"/>
      </w:pPr>
      <w:r>
        <w:rPr>
          <w:rStyle w:val="FootnoteReference"/>
        </w:rPr>
        <w:footnoteRef/>
      </w:r>
      <w:r>
        <w:t xml:space="preserve"> </w:t>
      </w:r>
      <w:r w:rsidRPr="00F85FEF">
        <w:rPr>
          <w:i/>
        </w:rPr>
        <w:t>Id</w:t>
      </w:r>
      <w:r>
        <w:t>.</w:t>
      </w:r>
    </w:p>
  </w:footnote>
  <w:footnote w:id="182">
    <w:p w14:paraId="5372FDAA" w14:textId="5B40998D" w:rsidR="009E62A3" w:rsidRDefault="009E62A3" w:rsidP="00F85FEF">
      <w:pPr>
        <w:pStyle w:val="FootnoteText"/>
        <w:ind w:left="360" w:right="360"/>
        <w:jc w:val="both"/>
      </w:pPr>
      <w:r>
        <w:rPr>
          <w:rStyle w:val="FootnoteReference"/>
        </w:rPr>
        <w:footnoteRef/>
      </w:r>
      <w:r>
        <w:t xml:space="preserve"> </w:t>
      </w:r>
      <w:r w:rsidRPr="00F85FEF">
        <w:t>Mary E. Bostwick</w:t>
      </w:r>
      <w:r>
        <w:t xml:space="preserve">, </w:t>
      </w:r>
      <w:r w:rsidRPr="00A7348B">
        <w:rPr>
          <w:i/>
        </w:rPr>
        <w:t>Atterbury Prisoners Work Hard, Find Model Camp—No Country Club</w:t>
      </w:r>
      <w:r>
        <w:t xml:space="preserve">, </w:t>
      </w:r>
      <w:r w:rsidRPr="00A7348B">
        <w:rPr>
          <w:smallCaps/>
          <w:szCs w:val="20"/>
        </w:rPr>
        <w:t>Indpls Star</w:t>
      </w:r>
      <w:r>
        <w:t xml:space="preserve"> (April 8, 1945), </w:t>
      </w:r>
      <w:r w:rsidRPr="00E8576F">
        <w:t>http://goo.gl/73Oxxv</w:t>
      </w:r>
      <w:r>
        <w:t xml:space="preserve"> </w:t>
      </w:r>
      <w:r w:rsidRPr="008D554C">
        <w:rPr>
          <w:szCs w:val="20"/>
        </w:rPr>
        <w:t>(</w:t>
      </w:r>
      <w:r w:rsidRPr="00687675">
        <w:rPr>
          <w:szCs w:val="20"/>
        </w:rPr>
        <w:t>follow “</w:t>
      </w:r>
      <w:r>
        <w:rPr>
          <w:szCs w:val="20"/>
        </w:rPr>
        <w:t>Articles” link</w:t>
      </w:r>
      <w:r w:rsidRPr="008D554C">
        <w:rPr>
          <w:szCs w:val="20"/>
        </w:rPr>
        <w:t>)</w:t>
      </w:r>
      <w:r>
        <w:rPr>
          <w:szCs w:val="20"/>
        </w:rPr>
        <w:t>.</w:t>
      </w:r>
    </w:p>
  </w:footnote>
  <w:footnote w:id="183">
    <w:p w14:paraId="232ECD1F" w14:textId="354437D7" w:rsidR="009E62A3" w:rsidRDefault="009E62A3" w:rsidP="00B113CF">
      <w:pPr>
        <w:pStyle w:val="FootnoteText"/>
        <w:ind w:left="360" w:right="360"/>
        <w:jc w:val="both"/>
      </w:pPr>
      <w:r>
        <w:rPr>
          <w:rStyle w:val="FootnoteReference"/>
        </w:rPr>
        <w:footnoteRef/>
      </w:r>
      <w:r>
        <w:t xml:space="preserve"> </w:t>
      </w:r>
      <w:r w:rsidRPr="00F85FEF">
        <w:rPr>
          <w:i/>
        </w:rPr>
        <w:t>Id</w:t>
      </w:r>
      <w:r>
        <w:t>.</w:t>
      </w:r>
    </w:p>
  </w:footnote>
  <w:footnote w:id="184">
    <w:p w14:paraId="29B8A51C" w14:textId="4AA1875B" w:rsidR="009E62A3" w:rsidRDefault="009E62A3" w:rsidP="00B113CF">
      <w:pPr>
        <w:pStyle w:val="FootnoteText"/>
        <w:ind w:left="360" w:right="360"/>
        <w:jc w:val="both"/>
      </w:pPr>
      <w:r>
        <w:rPr>
          <w:rStyle w:val="FootnoteReference"/>
        </w:rPr>
        <w:footnoteRef/>
      </w:r>
      <w:r>
        <w:t xml:space="preserve"> </w:t>
      </w:r>
      <w:r w:rsidRPr="00F85FEF">
        <w:rPr>
          <w:i/>
        </w:rPr>
        <w:t>Id</w:t>
      </w:r>
      <w:r>
        <w:t>.</w:t>
      </w:r>
    </w:p>
  </w:footnote>
  <w:footnote w:id="185">
    <w:p w14:paraId="6D0A0B8E" w14:textId="787509D4" w:rsidR="009E62A3" w:rsidRDefault="009E62A3" w:rsidP="00B113CF">
      <w:pPr>
        <w:pStyle w:val="FootnoteText"/>
        <w:ind w:left="360" w:right="360"/>
        <w:jc w:val="both"/>
      </w:pPr>
      <w:r>
        <w:rPr>
          <w:rStyle w:val="FootnoteReference"/>
        </w:rPr>
        <w:footnoteRef/>
      </w:r>
      <w:r>
        <w:t xml:space="preserve"> </w:t>
      </w:r>
      <w:r w:rsidRPr="00F85FEF">
        <w:rPr>
          <w:i/>
        </w:rPr>
        <w:t>Id</w:t>
      </w:r>
      <w:r>
        <w:t>.</w:t>
      </w:r>
    </w:p>
  </w:footnote>
  <w:footnote w:id="186">
    <w:p w14:paraId="576AC836" w14:textId="01307317" w:rsidR="009E62A3" w:rsidRDefault="009E62A3" w:rsidP="00B113CF">
      <w:pPr>
        <w:pStyle w:val="FootnoteText"/>
        <w:ind w:left="360" w:right="360"/>
        <w:jc w:val="both"/>
      </w:pPr>
      <w:r>
        <w:rPr>
          <w:rStyle w:val="FootnoteReference"/>
        </w:rPr>
        <w:footnoteRef/>
      </w:r>
      <w:r>
        <w:t xml:space="preserve"> </w:t>
      </w:r>
      <w:r w:rsidRPr="00155DA1">
        <w:rPr>
          <w:smallCaps/>
          <w:szCs w:val="20"/>
        </w:rPr>
        <w:t>H. Comm. Military Affairs, Investigations of the Nat’l War Effort</w:t>
      </w:r>
      <w:r w:rsidRPr="00155DA1">
        <w:rPr>
          <w:szCs w:val="20"/>
        </w:rPr>
        <w:t xml:space="preserve">, </w:t>
      </w:r>
      <w:r w:rsidRPr="00155DA1">
        <w:rPr>
          <w:smallCaps/>
          <w:szCs w:val="20"/>
        </w:rPr>
        <w:t xml:space="preserve">H.R. Rep. No. </w:t>
      </w:r>
      <w:r>
        <w:rPr>
          <w:szCs w:val="20"/>
        </w:rPr>
        <w:t>79-728 (1945</w:t>
      </w:r>
      <w:r w:rsidRPr="00155DA1">
        <w:rPr>
          <w:szCs w:val="20"/>
        </w:rPr>
        <w:t>)</w:t>
      </w:r>
      <w:r>
        <w:rPr>
          <w:szCs w:val="20"/>
        </w:rPr>
        <w:t>.</w:t>
      </w:r>
    </w:p>
  </w:footnote>
  <w:footnote w:id="187">
    <w:p w14:paraId="41033FEB" w14:textId="53713600" w:rsidR="009E62A3" w:rsidRDefault="009E62A3" w:rsidP="00B113CF">
      <w:pPr>
        <w:pStyle w:val="FootnoteText"/>
        <w:ind w:left="360" w:right="360"/>
        <w:jc w:val="both"/>
      </w:pPr>
      <w:r>
        <w:rPr>
          <w:rStyle w:val="FootnoteReference"/>
        </w:rPr>
        <w:footnoteRef/>
      </w:r>
      <w:r>
        <w:t xml:space="preserve"> </w:t>
      </w:r>
      <w:r w:rsidRPr="00A31025">
        <w:rPr>
          <w:i/>
        </w:rPr>
        <w:t>Id</w:t>
      </w:r>
      <w:r>
        <w:t>. at 1.</w:t>
      </w:r>
    </w:p>
  </w:footnote>
  <w:footnote w:id="188">
    <w:p w14:paraId="499C9CEF" w14:textId="3DCBFDA6" w:rsidR="009E62A3" w:rsidRDefault="009E62A3" w:rsidP="00B113CF">
      <w:pPr>
        <w:pStyle w:val="FootnoteText"/>
        <w:ind w:left="360" w:right="360"/>
        <w:jc w:val="both"/>
      </w:pPr>
      <w:r>
        <w:rPr>
          <w:rStyle w:val="FootnoteReference"/>
        </w:rPr>
        <w:footnoteRef/>
      </w:r>
      <w:r>
        <w:t xml:space="preserve"> </w:t>
      </w:r>
      <w:r w:rsidRPr="00A31025">
        <w:rPr>
          <w:i/>
        </w:rPr>
        <w:t>Id</w:t>
      </w:r>
      <w:r>
        <w:t>. at 18.</w:t>
      </w:r>
    </w:p>
  </w:footnote>
  <w:footnote w:id="189">
    <w:p w14:paraId="75CA9EC8" w14:textId="438EA0D4" w:rsidR="009E62A3" w:rsidRDefault="009E62A3" w:rsidP="00B113CF">
      <w:pPr>
        <w:pStyle w:val="FootnoteText"/>
        <w:ind w:left="360" w:right="360"/>
        <w:jc w:val="both"/>
      </w:pPr>
      <w:r>
        <w:rPr>
          <w:rStyle w:val="FootnoteReference"/>
        </w:rPr>
        <w:footnoteRef/>
      </w:r>
      <w:r>
        <w:t xml:space="preserve"> </w:t>
      </w:r>
      <w:r w:rsidRPr="00A31025">
        <w:rPr>
          <w:i/>
        </w:rPr>
        <w:t>Id</w:t>
      </w:r>
      <w:r>
        <w:t>. at 19.</w:t>
      </w:r>
    </w:p>
  </w:footnote>
  <w:footnote w:id="190">
    <w:p w14:paraId="4D8F76F3" w14:textId="22272FB8" w:rsidR="009E62A3" w:rsidRDefault="009E62A3" w:rsidP="00B113CF">
      <w:pPr>
        <w:pStyle w:val="FootnoteText"/>
        <w:ind w:left="360" w:right="360"/>
        <w:jc w:val="both"/>
      </w:pPr>
      <w:r>
        <w:rPr>
          <w:rStyle w:val="FootnoteReference"/>
        </w:rPr>
        <w:footnoteRef/>
      </w:r>
      <w:r>
        <w:t xml:space="preserve"> </w:t>
      </w:r>
      <w:r w:rsidRPr="00A31025">
        <w:rPr>
          <w:i/>
        </w:rPr>
        <w:t>Id</w:t>
      </w:r>
      <w:r>
        <w:t>.</w:t>
      </w:r>
    </w:p>
  </w:footnote>
  <w:footnote w:id="191">
    <w:p w14:paraId="6DC9F139" w14:textId="0833F8B8" w:rsidR="009E62A3" w:rsidRDefault="009E62A3" w:rsidP="00B113CF">
      <w:pPr>
        <w:pStyle w:val="FootnoteText"/>
        <w:ind w:left="360" w:right="360"/>
        <w:jc w:val="both"/>
      </w:pPr>
      <w:r>
        <w:rPr>
          <w:rStyle w:val="FootnoteReference"/>
        </w:rPr>
        <w:footnoteRef/>
      </w:r>
      <w:r>
        <w:t xml:space="preserve"> </w:t>
      </w:r>
      <w:r w:rsidRPr="00A31025">
        <w:rPr>
          <w:i/>
        </w:rPr>
        <w:t>Id</w:t>
      </w:r>
      <w:r>
        <w:t>.</w:t>
      </w:r>
    </w:p>
  </w:footnote>
  <w:footnote w:id="192">
    <w:p w14:paraId="37AD68B3" w14:textId="7E2191A4"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sidRPr="00A31025">
        <w:rPr>
          <w:i/>
        </w:rPr>
        <w:t>Id</w:t>
      </w:r>
      <w:r>
        <w:t>.</w:t>
      </w:r>
    </w:p>
  </w:footnote>
  <w:footnote w:id="193">
    <w:p w14:paraId="56B27685" w14:textId="692C5E8D" w:rsidR="009E62A3" w:rsidRPr="005340C0" w:rsidRDefault="009E62A3" w:rsidP="00B113CF">
      <w:pPr>
        <w:pStyle w:val="FootnoteText"/>
        <w:ind w:left="360" w:right="360"/>
        <w:jc w:val="both"/>
        <w:rPr>
          <w:szCs w:val="20"/>
        </w:rPr>
      </w:pPr>
      <w:r w:rsidRPr="005340C0">
        <w:rPr>
          <w:rStyle w:val="FootnoteReference"/>
          <w:szCs w:val="20"/>
        </w:rPr>
        <w:footnoteRef/>
      </w:r>
      <w:r w:rsidRPr="005340C0">
        <w:rPr>
          <w:szCs w:val="20"/>
        </w:rPr>
        <w:t xml:space="preserve"> </w:t>
      </w:r>
      <w:r>
        <w:rPr>
          <w:smallCaps/>
          <w:szCs w:val="20"/>
        </w:rPr>
        <w:t xml:space="preserve">Doyle, </w:t>
      </w:r>
      <w:r w:rsidRPr="00BB4910">
        <w:rPr>
          <w:i/>
          <w:iCs/>
          <w:szCs w:val="20"/>
        </w:rPr>
        <w:t>supra</w:t>
      </w:r>
      <w:r w:rsidRPr="00BB4910">
        <w:rPr>
          <w:szCs w:val="20"/>
        </w:rPr>
        <w:t> </w:t>
      </w:r>
      <w:r>
        <w:rPr>
          <w:szCs w:val="20"/>
        </w:rPr>
        <w:t>note 5, at 342.</w:t>
      </w:r>
    </w:p>
  </w:footnote>
  <w:footnote w:id="194">
    <w:p w14:paraId="23F4AC96" w14:textId="66343EA8" w:rsidR="009E62A3" w:rsidRDefault="009E62A3" w:rsidP="00B113CF">
      <w:pPr>
        <w:pStyle w:val="FootnoteText"/>
        <w:ind w:left="360" w:right="360"/>
        <w:jc w:val="both"/>
      </w:pPr>
      <w:r>
        <w:rPr>
          <w:rStyle w:val="FootnoteReference"/>
        </w:rPr>
        <w:footnoteRef/>
      </w:r>
      <w:r>
        <w:t>Brad A. Gutierrez,</w:t>
      </w:r>
      <w:r w:rsidRPr="001F1767">
        <w:t xml:space="preserve"> Sarah DeCristofaro &amp; Michael Woods, </w:t>
      </w:r>
      <w:r w:rsidRPr="001F1767">
        <w:rPr>
          <w:i/>
        </w:rPr>
        <w:t>What Americans Think of International Humanitarian Law</w:t>
      </w:r>
      <w:r w:rsidRPr="001F1767">
        <w:t xml:space="preserve">, 93 </w:t>
      </w:r>
      <w:r w:rsidRPr="00E749C2">
        <w:rPr>
          <w:smallCaps/>
          <w:szCs w:val="20"/>
        </w:rPr>
        <w:t>Int’l Rev. of the Red Cross</w:t>
      </w:r>
      <w:r w:rsidRPr="001F1767">
        <w:t xml:space="preserve"> 1009, 1010 (2011).</w:t>
      </w:r>
    </w:p>
  </w:footnote>
  <w:footnote w:id="195">
    <w:p w14:paraId="1779A243" w14:textId="77777777" w:rsidR="009E62A3" w:rsidRDefault="009E62A3" w:rsidP="00B113CF">
      <w:pPr>
        <w:pStyle w:val="FootnoteText"/>
        <w:ind w:left="360" w:right="360"/>
        <w:jc w:val="both"/>
      </w:pPr>
      <w:r>
        <w:rPr>
          <w:rStyle w:val="FootnoteReference"/>
        </w:rPr>
        <w:footnoteRef/>
      </w:r>
      <w:r>
        <w:t xml:space="preserve"> </w:t>
      </w:r>
      <w:r>
        <w:rPr>
          <w:i/>
          <w:iCs/>
        </w:rPr>
        <w:t>Dedication</w:t>
      </w:r>
      <w:r w:rsidRPr="00D1140A">
        <w:t>, </w:t>
      </w:r>
      <w:r w:rsidRPr="00D1140A">
        <w:rPr>
          <w:smallCaps/>
          <w:szCs w:val="20"/>
        </w:rPr>
        <w:t>Lagerstimme</w:t>
      </w:r>
      <w:r>
        <w:t xml:space="preserve"> </w:t>
      </w:r>
      <w:r w:rsidRPr="00D1140A">
        <w:t>(</w:t>
      </w:r>
      <w:r>
        <w:t>PW Camp Atterbury), n.d., at 3.</w:t>
      </w:r>
    </w:p>
  </w:footnote>
  <w:footnote w:id="196">
    <w:p w14:paraId="42AA68C2" w14:textId="6E5D0B83" w:rsidR="009E62A3" w:rsidRDefault="009E62A3" w:rsidP="00B113CF">
      <w:pPr>
        <w:pStyle w:val="FootnoteText"/>
        <w:ind w:left="360" w:right="360"/>
        <w:jc w:val="both"/>
      </w:pPr>
      <w:r>
        <w:rPr>
          <w:rStyle w:val="FootnoteReference"/>
        </w:rPr>
        <w:footnoteRef/>
      </w:r>
      <w:r>
        <w:t xml:space="preserve"> </w:t>
      </w:r>
      <w:r w:rsidRPr="00A75ADA">
        <w:t>With the exception of essential labor forces, certain high-ranking officers, and suspected war criminals, most POWs had departed the United States by the end of 1946.</w:t>
      </w:r>
      <w:r>
        <w:t xml:space="preserve"> </w:t>
      </w:r>
      <w:r>
        <w:rPr>
          <w:smallCaps/>
          <w:szCs w:val="20"/>
        </w:rPr>
        <w:t xml:space="preserve">Krammer, </w:t>
      </w:r>
      <w:r w:rsidRPr="00BB4910">
        <w:rPr>
          <w:i/>
          <w:iCs/>
          <w:szCs w:val="20"/>
        </w:rPr>
        <w:t>supra</w:t>
      </w:r>
      <w:r w:rsidRPr="00BB4910">
        <w:rPr>
          <w:szCs w:val="20"/>
        </w:rPr>
        <w:t> </w:t>
      </w:r>
      <w:r>
        <w:rPr>
          <w:szCs w:val="20"/>
        </w:rPr>
        <w:t>note 24,</w:t>
      </w:r>
      <w:r w:rsidRPr="00BB4910">
        <w:rPr>
          <w:szCs w:val="20"/>
        </w:rPr>
        <w:t xml:space="preserve"> at</w:t>
      </w:r>
      <w:r>
        <w:rPr>
          <w:szCs w:val="20"/>
        </w:rPr>
        <w:t xml:space="preserve"> 249</w:t>
      </w:r>
      <w:r>
        <w:t xml:space="preserve">. Krammer notes that 31,000 prisoners remained at the end of 1946, with the last of them officially discharged on June 30, 1947, “making the United States the first major Allied nation to free its European war prisoners.” </w:t>
      </w:r>
      <w:r w:rsidRPr="00280FCC">
        <w:rPr>
          <w:i/>
        </w:rPr>
        <w:t>Id</w:t>
      </w:r>
      <w:r>
        <w:t>. Final</w:t>
      </w:r>
      <w:r w:rsidRPr="00385D40">
        <w:t xml:space="preserve"> repatriation would have to wait, however, as a majority </w:t>
      </w:r>
      <w:r>
        <w:t xml:space="preserve">of POWs </w:t>
      </w:r>
      <w:r w:rsidRPr="00385D40">
        <w:t>spent up to a year or two in England or France helping rebuild from the devastation of war.</w:t>
      </w:r>
      <w:r>
        <w:t xml:space="preserve"> </w:t>
      </w:r>
      <w:r w:rsidRPr="00385D40">
        <w:rPr>
          <w:i/>
        </w:rPr>
        <w:t>Id</w:t>
      </w:r>
      <w:r>
        <w:t>. at 248.</w:t>
      </w:r>
    </w:p>
  </w:footnote>
  <w:footnote w:id="197">
    <w:p w14:paraId="0DCDCBAF" w14:textId="38594A64" w:rsidR="009E62A3" w:rsidRDefault="009E62A3" w:rsidP="00B113CF">
      <w:pPr>
        <w:pStyle w:val="FootnoteText"/>
        <w:ind w:left="360" w:right="360"/>
        <w:jc w:val="both"/>
      </w:pPr>
      <w:r>
        <w:rPr>
          <w:rStyle w:val="FootnoteReference"/>
        </w:rPr>
        <w:footnoteRef/>
      </w:r>
      <w:r>
        <w:t xml:space="preserve"> </w:t>
      </w:r>
      <w:r w:rsidRPr="00A31025">
        <w:t>Geneva Convention for the Amelioration of the Condition of the Wounded and</w:t>
      </w:r>
      <w:r>
        <w:t xml:space="preserve"> </w:t>
      </w:r>
      <w:r w:rsidRPr="00A31025">
        <w:t xml:space="preserve">Sick in Armed Forces in the Field, Aug. 12, 1949, 6 U.S.T. 3114, 75 U.N.T.S. 31 [hereinafter </w:t>
      </w:r>
      <w:r>
        <w:t xml:space="preserve">1949 </w:t>
      </w:r>
      <w:r w:rsidRPr="00A31025">
        <w:t>Geneva Convention I]</w:t>
      </w:r>
      <w:r>
        <w:t xml:space="preserve">; </w:t>
      </w:r>
      <w:r w:rsidRPr="00A31025">
        <w:t xml:space="preserve">Geneva Convention Relative to the Treatment of Prisoners of War, Aug. 12, 1949, 6 U.S.T. 3316, 75 U.N.T.S. 135 [hereinafter </w:t>
      </w:r>
      <w:r>
        <w:t xml:space="preserve">1949 </w:t>
      </w:r>
      <w:r w:rsidRPr="00A31025">
        <w:t>Geneva Convention III].</w:t>
      </w:r>
    </w:p>
  </w:footnote>
  <w:footnote w:id="198">
    <w:p w14:paraId="46C44108" w14:textId="6E17160E" w:rsidR="009E62A3" w:rsidRDefault="009E62A3" w:rsidP="00B113CF">
      <w:pPr>
        <w:pStyle w:val="FootnoteText"/>
        <w:ind w:left="360" w:right="360"/>
        <w:jc w:val="both"/>
      </w:pPr>
      <w:r>
        <w:rPr>
          <w:rStyle w:val="FootnoteReference"/>
        </w:rPr>
        <w:footnoteRef/>
      </w:r>
      <w:r>
        <w:t xml:space="preserve"> </w:t>
      </w:r>
      <w:r w:rsidRPr="00A25081">
        <w:t>Geneva Convention for the Amelioration of the Condition of</w:t>
      </w:r>
      <w:r>
        <w:t xml:space="preserve"> </w:t>
      </w:r>
      <w:r w:rsidRPr="00A25081">
        <w:t>Wounded, Sick and Shipwrecked Members of Armed Forces at Sea, Aug. 12, 1949, 6</w:t>
      </w:r>
      <w:r>
        <w:t xml:space="preserve"> </w:t>
      </w:r>
      <w:r w:rsidRPr="00A25081">
        <w:t>U.S.T. 3217, 75 U.N.T.S. 85 [hereinaft</w:t>
      </w:r>
      <w:r>
        <w:t>er 1949 Geneva Convention II].</w:t>
      </w:r>
    </w:p>
  </w:footnote>
  <w:footnote w:id="199">
    <w:p w14:paraId="3F2BA08F" w14:textId="77777777" w:rsidR="009E62A3" w:rsidRDefault="009E62A3" w:rsidP="00B113CF">
      <w:pPr>
        <w:pStyle w:val="FootnoteText"/>
        <w:ind w:left="360" w:right="360"/>
        <w:jc w:val="both"/>
      </w:pPr>
      <w:r>
        <w:rPr>
          <w:rStyle w:val="FootnoteReference"/>
        </w:rPr>
        <w:footnoteRef/>
      </w:r>
      <w:r>
        <w:t xml:space="preserve"> </w:t>
      </w:r>
      <w:r w:rsidRPr="00A31025">
        <w:t xml:space="preserve">Geneva Convention Relative to the Protection of Civilian Persons in Time of War, Aug. 12, 1949, 6 U.S.T. 3516, 75 U.N.T.S. 287 [hereinafter </w:t>
      </w:r>
      <w:r>
        <w:t xml:space="preserve">1949 </w:t>
      </w:r>
      <w:r w:rsidRPr="00A31025">
        <w:t>Geneva Convention IV].</w:t>
      </w:r>
    </w:p>
  </w:footnote>
  <w:footnote w:id="200">
    <w:p w14:paraId="67A3AD0A" w14:textId="55F06E6D" w:rsidR="009E62A3" w:rsidRDefault="009E62A3" w:rsidP="00B113CF">
      <w:pPr>
        <w:pStyle w:val="FootnoteText"/>
        <w:ind w:left="360" w:right="360"/>
        <w:jc w:val="both"/>
      </w:pPr>
      <w:r>
        <w:rPr>
          <w:rStyle w:val="FootnoteReference"/>
        </w:rPr>
        <w:footnoteRef/>
      </w:r>
      <w:r>
        <w:t xml:space="preserve"> 1949 </w:t>
      </w:r>
      <w:r w:rsidRPr="00A31025">
        <w:t>Geneva Convention III</w:t>
      </w:r>
      <w:r>
        <w:t>, art. 4.</w:t>
      </w:r>
    </w:p>
  </w:footnote>
  <w:footnote w:id="201">
    <w:p w14:paraId="5AE5D78B" w14:textId="6BE8D835" w:rsidR="009E62A3" w:rsidRDefault="009E62A3" w:rsidP="00B113CF">
      <w:pPr>
        <w:pStyle w:val="FootnoteText"/>
        <w:ind w:left="360" w:right="360"/>
        <w:jc w:val="both"/>
      </w:pPr>
      <w:r>
        <w:rPr>
          <w:rStyle w:val="FootnoteReference"/>
        </w:rPr>
        <w:footnoteRef/>
      </w:r>
      <w:r>
        <w:t xml:space="preserve"> </w:t>
      </w:r>
      <w:r w:rsidRPr="005D3CF0">
        <w:rPr>
          <w:i/>
        </w:rPr>
        <w:t>Id</w:t>
      </w:r>
      <w:r>
        <w:t>. at art. 22.</w:t>
      </w:r>
    </w:p>
  </w:footnote>
  <w:footnote w:id="202">
    <w:p w14:paraId="588431DA" w14:textId="00D5088A" w:rsidR="009E62A3" w:rsidRDefault="009E62A3" w:rsidP="00B113CF">
      <w:pPr>
        <w:pStyle w:val="FootnoteText"/>
        <w:ind w:left="360" w:right="360"/>
        <w:jc w:val="both"/>
      </w:pPr>
      <w:r>
        <w:rPr>
          <w:rStyle w:val="FootnoteReference"/>
        </w:rPr>
        <w:footnoteRef/>
      </w:r>
      <w:r>
        <w:t xml:space="preserve"> </w:t>
      </w:r>
      <w:r w:rsidRPr="005D3CF0">
        <w:rPr>
          <w:i/>
        </w:rPr>
        <w:t>Id</w:t>
      </w:r>
      <w:r>
        <w:t>. at arts. 49-57.</w:t>
      </w:r>
    </w:p>
  </w:footnote>
  <w:footnote w:id="203">
    <w:p w14:paraId="7EBC23E8" w14:textId="3105D571" w:rsidR="009E62A3" w:rsidRDefault="009E62A3" w:rsidP="00B113CF">
      <w:pPr>
        <w:pStyle w:val="FootnoteText"/>
        <w:ind w:left="360" w:right="360"/>
        <w:jc w:val="both"/>
      </w:pPr>
      <w:r>
        <w:rPr>
          <w:rStyle w:val="FootnoteReference"/>
        </w:rPr>
        <w:footnoteRef/>
      </w:r>
      <w:r>
        <w:t xml:space="preserve"> </w:t>
      </w:r>
      <w:r w:rsidRPr="005D3CF0">
        <w:rPr>
          <w:i/>
        </w:rPr>
        <w:t>Id</w:t>
      </w:r>
      <w:r>
        <w:t>. at arts. 99-108.</w:t>
      </w:r>
    </w:p>
  </w:footnote>
  <w:footnote w:id="204">
    <w:p w14:paraId="76A191C4" w14:textId="1BAAF75D" w:rsidR="009E62A3" w:rsidRDefault="009E62A3" w:rsidP="00B113CF">
      <w:pPr>
        <w:pStyle w:val="FootnoteText"/>
        <w:ind w:left="360" w:right="360"/>
        <w:jc w:val="both"/>
      </w:pPr>
      <w:r>
        <w:rPr>
          <w:rStyle w:val="FootnoteReference"/>
        </w:rPr>
        <w:footnoteRef/>
      </w:r>
      <w:r>
        <w:t xml:space="preserve"> </w:t>
      </w:r>
      <w:r w:rsidRPr="007976AE">
        <w:rPr>
          <w:i/>
        </w:rPr>
        <w:t xml:space="preserve">States Party to the Main IHL Treaties as of </w:t>
      </w:r>
      <w:r>
        <w:rPr>
          <w:i/>
        </w:rPr>
        <w:t>20-Aug-</w:t>
      </w:r>
      <w:r w:rsidRPr="007976AE">
        <w:rPr>
          <w:i/>
        </w:rPr>
        <w:t>2015</w:t>
      </w:r>
      <w:r>
        <w:t xml:space="preserve">, </w:t>
      </w:r>
      <w:r w:rsidRPr="002332C2">
        <w:rPr>
          <w:smallCaps/>
          <w:szCs w:val="20"/>
        </w:rPr>
        <w:t>Int’l Comm. of the Red Cross</w:t>
      </w:r>
      <w:r>
        <w:t xml:space="preserve"> (Aug. 20, 2015), </w:t>
      </w:r>
      <w:r w:rsidRPr="007976AE">
        <w:t>https://www.icrc.org/IHL</w:t>
      </w:r>
      <w:r>
        <w:t xml:space="preserve"> (see Reference Documents) [hereinafter </w:t>
      </w:r>
      <w:r w:rsidRPr="007976AE">
        <w:rPr>
          <w:i/>
        </w:rPr>
        <w:t>States Party</w:t>
      </w:r>
      <w:r>
        <w:t>].</w:t>
      </w:r>
    </w:p>
  </w:footnote>
  <w:footnote w:id="205">
    <w:p w14:paraId="12BA787D" w14:textId="70C47293" w:rsidR="009E62A3" w:rsidRDefault="009E62A3" w:rsidP="00B113CF">
      <w:pPr>
        <w:pStyle w:val="FootnoteText"/>
        <w:ind w:left="360" w:right="360"/>
        <w:jc w:val="both"/>
      </w:pPr>
      <w:r>
        <w:rPr>
          <w:rStyle w:val="FootnoteReference"/>
        </w:rPr>
        <w:footnoteRef/>
      </w:r>
      <w:r>
        <w:t xml:space="preserve"> </w:t>
      </w:r>
      <w:r w:rsidRPr="000E1E22">
        <w:t xml:space="preserve">Protocol Additional to the Geneva Conventions of 12 August 1949, and Relating to the Protection of Victims of International Armed Conflicts, </w:t>
      </w:r>
      <w:r w:rsidRPr="00BA522E">
        <w:rPr>
          <w:i/>
        </w:rPr>
        <w:t>opened for signature</w:t>
      </w:r>
      <w:r w:rsidRPr="000E1E22">
        <w:t xml:space="preserve"> Dec. 12, 1977, 1125 U.N.T.S. 3 [hereinafter Protocol I].</w:t>
      </w:r>
    </w:p>
  </w:footnote>
  <w:footnote w:id="206">
    <w:p w14:paraId="16AD1AF8" w14:textId="23C9349A" w:rsidR="009E62A3" w:rsidRDefault="009E62A3" w:rsidP="00B113CF">
      <w:pPr>
        <w:pStyle w:val="FootnoteText"/>
        <w:ind w:left="360" w:right="360"/>
        <w:jc w:val="both"/>
      </w:pPr>
      <w:r>
        <w:rPr>
          <w:rStyle w:val="FootnoteReference"/>
        </w:rPr>
        <w:footnoteRef/>
      </w:r>
      <w:r>
        <w:t xml:space="preserve"> </w:t>
      </w:r>
      <w:r w:rsidRPr="000E1E22">
        <w:t xml:space="preserve">Protocol Additional to the Geneva Conventions of 12 August 1949, and Relating to the Protection of Victims of Non-International Armed Conflicts, </w:t>
      </w:r>
      <w:r w:rsidRPr="00BA522E">
        <w:rPr>
          <w:i/>
        </w:rPr>
        <w:t>opened for signature</w:t>
      </w:r>
      <w:r w:rsidRPr="000E1E22">
        <w:t xml:space="preserve"> Dec. 12, 1977, 1125 U.N.T.S. 609 [hereinafter Protocol II].</w:t>
      </w:r>
    </w:p>
  </w:footnote>
  <w:footnote w:id="207">
    <w:p w14:paraId="09F0617B" w14:textId="77777777" w:rsidR="009E62A3" w:rsidRDefault="009E62A3" w:rsidP="00B113CF">
      <w:pPr>
        <w:pStyle w:val="FootnoteText"/>
        <w:ind w:left="360" w:right="360"/>
        <w:jc w:val="both"/>
      </w:pPr>
      <w:r>
        <w:rPr>
          <w:rStyle w:val="FootnoteReference"/>
        </w:rPr>
        <w:footnoteRef/>
      </w:r>
      <w:r>
        <w:t xml:space="preserve"> </w:t>
      </w:r>
      <w:r w:rsidRPr="002332C2">
        <w:rPr>
          <w:i/>
        </w:rPr>
        <w:t>Protocols I and II Additional to the Geneva Conventions</w:t>
      </w:r>
      <w:r>
        <w:t xml:space="preserve">, </w:t>
      </w:r>
      <w:r w:rsidRPr="002332C2">
        <w:rPr>
          <w:smallCaps/>
          <w:szCs w:val="20"/>
        </w:rPr>
        <w:t>Int’l Comm. of the Red Cross</w:t>
      </w:r>
      <w:r>
        <w:t xml:space="preserve"> (Jan. 1, 2009), </w:t>
      </w:r>
      <w:r w:rsidRPr="002332C2">
        <w:t>https://www.icrc.org/eng/resources/documents/misc/additional-protocols-1977.htm</w:t>
      </w:r>
      <w:r>
        <w:t xml:space="preserve">. </w:t>
      </w:r>
    </w:p>
  </w:footnote>
  <w:footnote w:id="208">
    <w:p w14:paraId="65D866CD" w14:textId="4CC45236" w:rsidR="009E62A3" w:rsidRDefault="009E62A3" w:rsidP="00B113CF">
      <w:pPr>
        <w:pStyle w:val="FootnoteText"/>
        <w:ind w:left="360" w:right="360"/>
        <w:jc w:val="both"/>
      </w:pPr>
      <w:r>
        <w:rPr>
          <w:rStyle w:val="FootnoteReference"/>
        </w:rPr>
        <w:footnoteRef/>
      </w:r>
      <w:r>
        <w:t xml:space="preserve"> </w:t>
      </w:r>
      <w:r>
        <w:rPr>
          <w:bCs/>
          <w:szCs w:val="20"/>
        </w:rPr>
        <w:t>Protocol A</w:t>
      </w:r>
      <w:r w:rsidRPr="00373B4B">
        <w:rPr>
          <w:bCs/>
          <w:szCs w:val="20"/>
        </w:rPr>
        <w:t>dditional to the Geneva Conv</w:t>
      </w:r>
      <w:r>
        <w:rPr>
          <w:bCs/>
          <w:szCs w:val="20"/>
        </w:rPr>
        <w:t>entions of 12 August 1949, and R</w:t>
      </w:r>
      <w:r w:rsidRPr="00373B4B">
        <w:rPr>
          <w:bCs/>
          <w:szCs w:val="20"/>
        </w:rPr>
        <w:t>elating to the Adoption of an Additional Distinctive Emblem</w:t>
      </w:r>
      <w:r>
        <w:rPr>
          <w:bCs/>
          <w:szCs w:val="20"/>
        </w:rPr>
        <w:t>, Dec. 8, 2005, S. Treaty Doc. No. 109-10, 45 I.L.M. 558 [hereinafter Protocol III].</w:t>
      </w:r>
    </w:p>
  </w:footnote>
  <w:footnote w:id="209">
    <w:p w14:paraId="3DDE18FB" w14:textId="24E62286" w:rsidR="009E62A3" w:rsidRDefault="009E62A3" w:rsidP="00B113CF">
      <w:pPr>
        <w:pStyle w:val="FootnoteText"/>
        <w:ind w:left="360" w:right="360"/>
        <w:jc w:val="both"/>
      </w:pPr>
      <w:r>
        <w:rPr>
          <w:rStyle w:val="FootnoteReference"/>
        </w:rPr>
        <w:footnoteRef/>
      </w:r>
      <w:r>
        <w:t xml:space="preserve"> </w:t>
      </w:r>
      <w:r w:rsidRPr="007976AE">
        <w:rPr>
          <w:i/>
        </w:rPr>
        <w:t>States Party</w:t>
      </w:r>
      <w:r>
        <w:t xml:space="preserve">, </w:t>
      </w:r>
      <w:r w:rsidRPr="007E2F8C">
        <w:rPr>
          <w:i/>
        </w:rPr>
        <w:t>supra</w:t>
      </w:r>
      <w:r>
        <w:t xml:space="preserve"> note 203.</w:t>
      </w:r>
    </w:p>
  </w:footnote>
  <w:footnote w:id="210">
    <w:p w14:paraId="2AFC616F" w14:textId="5EF17C14" w:rsidR="009E62A3" w:rsidRDefault="009E62A3" w:rsidP="00B113CF">
      <w:pPr>
        <w:pStyle w:val="FootnoteText"/>
        <w:ind w:left="360" w:right="360"/>
        <w:jc w:val="both"/>
      </w:pPr>
      <w:r>
        <w:rPr>
          <w:rStyle w:val="FootnoteReference"/>
        </w:rPr>
        <w:footnoteRef/>
      </w:r>
      <w:r>
        <w:t xml:space="preserve"> </w:t>
      </w:r>
      <w:r w:rsidRPr="00466CA0">
        <w:rPr>
          <w:i/>
        </w:rPr>
        <w:t>See, e.g.</w:t>
      </w:r>
      <w:r>
        <w:t xml:space="preserve">, 1949 </w:t>
      </w:r>
      <w:r w:rsidRPr="00A31025">
        <w:t>Geneva Convention III</w:t>
      </w:r>
      <w:r>
        <w:t>, art. 2.</w:t>
      </w:r>
    </w:p>
  </w:footnote>
  <w:footnote w:id="211">
    <w:p w14:paraId="3BD5BB3B" w14:textId="77777777" w:rsidR="009E62A3" w:rsidRDefault="009E62A3" w:rsidP="00CE60CA">
      <w:pPr>
        <w:pStyle w:val="FootnoteText"/>
        <w:ind w:left="360" w:right="360"/>
        <w:jc w:val="both"/>
      </w:pPr>
      <w:r>
        <w:rPr>
          <w:rStyle w:val="FootnoteReference"/>
        </w:rPr>
        <w:footnoteRef/>
      </w:r>
      <w:r>
        <w:t xml:space="preserve"> Authorization for Use of Military Force, Pub. L. No. 107-40, 115 Stat. 224 (2001).</w:t>
      </w:r>
    </w:p>
  </w:footnote>
  <w:footnote w:id="212">
    <w:p w14:paraId="117C98A2" w14:textId="77777777" w:rsidR="009E62A3" w:rsidRDefault="009E62A3" w:rsidP="00CE60CA">
      <w:pPr>
        <w:pStyle w:val="FootnoteText"/>
        <w:ind w:left="360" w:right="360"/>
        <w:jc w:val="both"/>
      </w:pPr>
      <w:r>
        <w:rPr>
          <w:rStyle w:val="FootnoteReference"/>
        </w:rPr>
        <w:footnoteRef/>
      </w:r>
      <w:r>
        <w:t xml:space="preserve"> </w:t>
      </w:r>
      <w:r w:rsidRPr="00C10A7E">
        <w:rPr>
          <w:i/>
        </w:rPr>
        <w:t xml:space="preserve">See </w:t>
      </w:r>
      <w:r>
        <w:t>Military Order of Nov. 13, 2001—Detention, Treatment, and Trial of Certain Non-Citizens in the War Against Terrorism, 66 Fed. Reg. 57,833 (Nov. 16, 2001) (allowing for the detention of suspected terrorists outside the United States).</w:t>
      </w:r>
    </w:p>
  </w:footnote>
  <w:footnote w:id="213">
    <w:p w14:paraId="73F83C4A" w14:textId="77777777" w:rsidR="009E62A3" w:rsidRDefault="009E62A3" w:rsidP="00CE60CA">
      <w:pPr>
        <w:pStyle w:val="FootnoteText"/>
        <w:ind w:left="360" w:right="360"/>
        <w:jc w:val="both"/>
      </w:pPr>
      <w:r>
        <w:rPr>
          <w:rStyle w:val="FootnoteReference"/>
        </w:rPr>
        <w:footnoteRef/>
      </w:r>
      <w:r>
        <w:t xml:space="preserve"> </w:t>
      </w:r>
      <w:r w:rsidRPr="00E17ECD">
        <w:t xml:space="preserve">Memorandum from </w:t>
      </w:r>
      <w:r>
        <w:t xml:space="preserve">Patrick F. Philbin &amp; John C. Yoo, Deputies Assistant Attorney Gen., </w:t>
      </w:r>
      <w:r w:rsidRPr="00E17ECD">
        <w:t xml:space="preserve">to </w:t>
      </w:r>
      <w:r>
        <w:t xml:space="preserve">William J. Haynes, II, Gen. Counsel, Dep’t of Defense </w:t>
      </w:r>
      <w:r w:rsidRPr="00E17ECD">
        <w:t>(</w:t>
      </w:r>
      <w:r>
        <w:t>Dec. 28, 2001</w:t>
      </w:r>
      <w:r w:rsidRPr="00E17ECD">
        <w:t>)</w:t>
      </w:r>
      <w:r>
        <w:t xml:space="preserve">, </w:t>
      </w:r>
      <w:r w:rsidRPr="006B42CA">
        <w:rPr>
          <w:i/>
        </w:rPr>
        <w:t>available at</w:t>
      </w:r>
      <w:r>
        <w:t xml:space="preserve"> </w:t>
      </w:r>
      <w:r w:rsidRPr="006B42CA">
        <w:t>http://nsarchive.gwu.edu/torturingdemocracy/documents/20011228.pdf</w:t>
      </w:r>
      <w:r>
        <w:t xml:space="preserve">. </w:t>
      </w:r>
    </w:p>
  </w:footnote>
  <w:footnote w:id="214">
    <w:p w14:paraId="152DE0FD" w14:textId="2BC741C7" w:rsidR="009E62A3" w:rsidRPr="005340C0" w:rsidRDefault="009E62A3" w:rsidP="00CE60CA">
      <w:pPr>
        <w:pStyle w:val="FootnoteText"/>
        <w:ind w:left="360" w:right="360"/>
        <w:jc w:val="both"/>
        <w:rPr>
          <w:szCs w:val="20"/>
        </w:rPr>
      </w:pPr>
      <w:r w:rsidRPr="005340C0">
        <w:rPr>
          <w:rStyle w:val="FootnoteReference"/>
          <w:szCs w:val="20"/>
        </w:rPr>
        <w:footnoteRef/>
      </w:r>
      <w:r w:rsidRPr="005340C0">
        <w:rPr>
          <w:szCs w:val="20"/>
        </w:rPr>
        <w:t xml:space="preserve"> </w:t>
      </w:r>
      <w:r>
        <w:rPr>
          <w:szCs w:val="20"/>
        </w:rPr>
        <w:t xml:space="preserve">Justice </w:t>
      </w:r>
      <w:r w:rsidRPr="00215C6B">
        <w:rPr>
          <w:szCs w:val="20"/>
        </w:rPr>
        <w:t xml:space="preserve">Steven H. </w:t>
      </w:r>
      <w:r>
        <w:rPr>
          <w:szCs w:val="20"/>
        </w:rPr>
        <w:t xml:space="preserve">David, </w:t>
      </w:r>
      <w:r w:rsidRPr="00215C6B">
        <w:rPr>
          <w:szCs w:val="20"/>
        </w:rPr>
        <w:t xml:space="preserve">Ex Parte Milligan </w:t>
      </w:r>
      <w:r w:rsidRPr="00215C6B">
        <w:rPr>
          <w:i/>
          <w:szCs w:val="20"/>
        </w:rPr>
        <w:t>and the Detainees at Guantanamo Bay: A Legacy Lost</w:t>
      </w:r>
      <w:r w:rsidRPr="00215C6B">
        <w:rPr>
          <w:szCs w:val="20"/>
        </w:rPr>
        <w:t xml:space="preserve">, 109 </w:t>
      </w:r>
      <w:r w:rsidRPr="00F73DD4">
        <w:rPr>
          <w:smallCaps/>
          <w:szCs w:val="20"/>
        </w:rPr>
        <w:t>Ind. Mag. Hist.</w:t>
      </w:r>
      <w:r w:rsidRPr="00215C6B">
        <w:rPr>
          <w:szCs w:val="20"/>
        </w:rPr>
        <w:t xml:space="preserve"> 380</w:t>
      </w:r>
      <w:r>
        <w:rPr>
          <w:szCs w:val="20"/>
        </w:rPr>
        <w:t>, 381</w:t>
      </w:r>
      <w:r w:rsidRPr="00215C6B">
        <w:rPr>
          <w:szCs w:val="20"/>
        </w:rPr>
        <w:t xml:space="preserve"> (2013).</w:t>
      </w:r>
      <w:r>
        <w:rPr>
          <w:szCs w:val="20"/>
        </w:rPr>
        <w:t xml:space="preserve"> </w:t>
      </w:r>
    </w:p>
  </w:footnote>
  <w:footnote w:id="215">
    <w:p w14:paraId="0EFF9B64" w14:textId="4C87ADA9" w:rsidR="009E62A3" w:rsidRDefault="009E62A3" w:rsidP="00B113CF">
      <w:pPr>
        <w:pStyle w:val="FootnoteText"/>
        <w:ind w:left="360" w:right="360"/>
        <w:jc w:val="both"/>
      </w:pPr>
      <w:r>
        <w:rPr>
          <w:rStyle w:val="FootnoteReference"/>
        </w:rPr>
        <w:footnoteRef/>
      </w:r>
      <w:r>
        <w:t xml:space="preserve"> </w:t>
      </w:r>
      <w:r>
        <w:rPr>
          <w:bCs/>
          <w:szCs w:val="20"/>
        </w:rPr>
        <w:t xml:space="preserve">Ari Fleischer, White House Press Secretary, </w:t>
      </w:r>
      <w:r>
        <w:rPr>
          <w:szCs w:val="20"/>
        </w:rPr>
        <w:t>Announcement of President Bush’s Determination re Legal Status of Taliban and Al Qaeda Detainees (Feb.</w:t>
      </w:r>
      <w:r w:rsidRPr="00803828">
        <w:rPr>
          <w:szCs w:val="20"/>
        </w:rPr>
        <w:t xml:space="preserve"> 7, 2002)</w:t>
      </w:r>
      <w:r>
        <w:rPr>
          <w:szCs w:val="20"/>
        </w:rPr>
        <w:t xml:space="preserve">, </w:t>
      </w:r>
      <w:r w:rsidRPr="00803828">
        <w:rPr>
          <w:szCs w:val="20"/>
        </w:rPr>
        <w:t>http://www.state.gov/s/l/38727.htm</w:t>
      </w:r>
    </w:p>
  </w:footnote>
  <w:footnote w:id="216">
    <w:p w14:paraId="0F11443E" w14:textId="618A38F5" w:rsidR="009E62A3" w:rsidRDefault="009E62A3" w:rsidP="00B113CF">
      <w:pPr>
        <w:pStyle w:val="FootnoteText"/>
        <w:ind w:left="360" w:right="360"/>
        <w:jc w:val="both"/>
      </w:pPr>
      <w:r>
        <w:rPr>
          <w:rStyle w:val="FootnoteReference"/>
        </w:rPr>
        <w:footnoteRef/>
      </w:r>
      <w:r>
        <w:t xml:space="preserve"> </w:t>
      </w:r>
      <w:r w:rsidRPr="005D3CF0">
        <w:rPr>
          <w:i/>
        </w:rPr>
        <w:t>Id</w:t>
      </w:r>
      <w:r>
        <w:t>.</w:t>
      </w:r>
    </w:p>
  </w:footnote>
  <w:footnote w:id="217">
    <w:p w14:paraId="160F8DAC" w14:textId="2D17CF5B" w:rsidR="009E62A3" w:rsidRDefault="009E62A3" w:rsidP="00B113CF">
      <w:pPr>
        <w:pStyle w:val="FootnoteText"/>
        <w:ind w:left="360" w:right="360"/>
        <w:jc w:val="both"/>
      </w:pPr>
      <w:r>
        <w:rPr>
          <w:rStyle w:val="FootnoteReference"/>
        </w:rPr>
        <w:footnoteRef/>
      </w:r>
      <w:r>
        <w:t xml:space="preserve"> </w:t>
      </w:r>
      <w:r w:rsidRPr="00803828">
        <w:rPr>
          <w:bCs/>
          <w:szCs w:val="20"/>
        </w:rPr>
        <w:t xml:space="preserve">Memorandum from </w:t>
      </w:r>
      <w:r>
        <w:rPr>
          <w:bCs/>
          <w:szCs w:val="20"/>
        </w:rPr>
        <w:t>Pres. George W. Bush</w:t>
      </w:r>
      <w:r w:rsidRPr="00803828">
        <w:rPr>
          <w:bCs/>
          <w:szCs w:val="20"/>
        </w:rPr>
        <w:t xml:space="preserve"> to </w:t>
      </w:r>
      <w:r>
        <w:rPr>
          <w:bCs/>
          <w:szCs w:val="20"/>
        </w:rPr>
        <w:t>the Vice Pres., Sec. of State, Sec. of Defense, Att’y Gen., Chief of Staff to the Pres., Dir. of Cent. Intelligence, Assistant to the Pres. for Nat’l Sec. Affairs, and Chairman of the Joint Chiefs of Staff. (Feb. 7, 2002</w:t>
      </w:r>
      <w:r w:rsidRPr="00803828">
        <w:rPr>
          <w:bCs/>
          <w:szCs w:val="20"/>
        </w:rPr>
        <w:t>)</w:t>
      </w:r>
      <w:r>
        <w:rPr>
          <w:bCs/>
          <w:szCs w:val="20"/>
        </w:rPr>
        <w:t xml:space="preserve">, </w:t>
      </w:r>
      <w:r w:rsidRPr="00AB4A36">
        <w:rPr>
          <w:bCs/>
          <w:i/>
          <w:szCs w:val="20"/>
        </w:rPr>
        <w:t>available at</w:t>
      </w:r>
      <w:r>
        <w:rPr>
          <w:bCs/>
          <w:szCs w:val="20"/>
        </w:rPr>
        <w:t xml:space="preserve"> </w:t>
      </w:r>
      <w:r w:rsidRPr="007947C6">
        <w:rPr>
          <w:bCs/>
          <w:szCs w:val="20"/>
        </w:rPr>
        <w:t>http://www.pegc.us/archive/White_House/bush_memo_20020207_ed.pdf</w:t>
      </w:r>
      <w:r>
        <w:rPr>
          <w:bCs/>
          <w:szCs w:val="20"/>
        </w:rPr>
        <w:t>.</w:t>
      </w:r>
    </w:p>
  </w:footnote>
  <w:footnote w:id="218">
    <w:p w14:paraId="6BFE3AA4" w14:textId="12720128" w:rsidR="009E62A3" w:rsidRDefault="009E62A3" w:rsidP="00594575">
      <w:pPr>
        <w:pStyle w:val="FootnoteText"/>
        <w:ind w:left="360" w:right="360"/>
        <w:jc w:val="both"/>
      </w:pPr>
      <w:r>
        <w:rPr>
          <w:rStyle w:val="FootnoteReference"/>
        </w:rPr>
        <w:footnoteRef/>
      </w:r>
      <w:r>
        <w:t xml:space="preserve"> Seymour M. Hersh, </w:t>
      </w:r>
      <w:r w:rsidRPr="00594575">
        <w:rPr>
          <w:i/>
        </w:rPr>
        <w:t>Torture at Abu Ghraib</w:t>
      </w:r>
      <w:r>
        <w:t xml:space="preserve">, </w:t>
      </w:r>
      <w:r w:rsidRPr="00594575">
        <w:rPr>
          <w:smallCaps/>
          <w:szCs w:val="20"/>
        </w:rPr>
        <w:t>New Yorker</w:t>
      </w:r>
      <w:r>
        <w:t xml:space="preserve"> (May 10, 2004), </w:t>
      </w:r>
      <w:r w:rsidRPr="00594575">
        <w:t>http://www.newyorker.com/magazine/2004/05/10/torture-at-abu-ghraib</w:t>
      </w:r>
      <w:r>
        <w:t xml:space="preserve">; Andrew Cohen, </w:t>
      </w:r>
      <w:r w:rsidRPr="00594575">
        <w:rPr>
          <w:i/>
        </w:rPr>
        <w:t>The Torture Memos, 10 Years Later</w:t>
      </w:r>
      <w:r>
        <w:t xml:space="preserve">, </w:t>
      </w:r>
      <w:r w:rsidRPr="00594575">
        <w:rPr>
          <w:smallCaps/>
          <w:szCs w:val="20"/>
        </w:rPr>
        <w:t>Atlantic</w:t>
      </w:r>
      <w:r>
        <w:t xml:space="preserve"> (Feb. 6, 2012), </w:t>
      </w:r>
      <w:r w:rsidRPr="00EA6BE7">
        <w:t>http://www.theatlantic.com/national/archive/2012/02/the-torture-memo</w:t>
      </w:r>
      <w:r>
        <w:t xml:space="preserve">s-10-years-later/252439; Julie Tate, </w:t>
      </w:r>
      <w:r w:rsidRPr="00594575">
        <w:rPr>
          <w:i/>
        </w:rPr>
        <w:t>The CIA’s Use of Harsh Interrogation</w:t>
      </w:r>
      <w:r>
        <w:t xml:space="preserve">, </w:t>
      </w:r>
      <w:r w:rsidRPr="00594575">
        <w:rPr>
          <w:smallCaps/>
          <w:szCs w:val="20"/>
        </w:rPr>
        <w:t>Wash. Post</w:t>
      </w:r>
      <w:r>
        <w:t xml:space="preserve"> (Dec. 9, 2014), </w:t>
      </w:r>
      <w:r w:rsidRPr="00EA6BE7">
        <w:t>http://www.washingtonpost.com/wp-srv/special/national/ci</w:t>
      </w:r>
      <w:r>
        <w:t xml:space="preserve">a-interrogation-report/timeline; Brady Dennis, </w:t>
      </w:r>
      <w:r w:rsidRPr="00594575">
        <w:rPr>
          <w:i/>
        </w:rPr>
        <w:t>Senate Report: Uncooperative Terrorism Suspects Faced Rectal Rehydration, Feeding</w:t>
      </w:r>
      <w:r>
        <w:t xml:space="preserve">, </w:t>
      </w:r>
      <w:r w:rsidRPr="00594575">
        <w:rPr>
          <w:smallCaps/>
          <w:szCs w:val="20"/>
        </w:rPr>
        <w:t>Wash. Post</w:t>
      </w:r>
      <w:r>
        <w:t xml:space="preserve"> (Dec. 9, 2014), </w:t>
      </w:r>
      <w:r w:rsidRPr="00594575">
        <w:t>http://www.washingtonpost.com/national/health-science/senate-report-uncooperative-terrorism-suspects-faced-rectal-rehydration-feeding/2014/12/09/fcffb1ec-7fb8-11e4-8882-03cf08410beb_story.html</w:t>
      </w:r>
      <w:r>
        <w:t>.</w:t>
      </w:r>
    </w:p>
  </w:footnote>
  <w:footnote w:id="219">
    <w:p w14:paraId="49CDBA81" w14:textId="48C7F417" w:rsidR="009E62A3" w:rsidRPr="000B281D" w:rsidRDefault="009E62A3" w:rsidP="00B113CF">
      <w:pPr>
        <w:pStyle w:val="FootnoteText"/>
        <w:ind w:left="360" w:right="360"/>
        <w:jc w:val="both"/>
        <w:rPr>
          <w:b/>
          <w:bCs/>
        </w:rPr>
      </w:pPr>
      <w:r>
        <w:rPr>
          <w:rStyle w:val="FootnoteReference"/>
        </w:rPr>
        <w:footnoteRef/>
      </w:r>
      <w:r>
        <w:t xml:space="preserve"> </w:t>
      </w:r>
      <w:r w:rsidRPr="000B281D">
        <w:t xml:space="preserve">The classification of irregular enemy combatants as “unlawful” or “unprivileged” appears nowhere in the Geneva Conventions. </w:t>
      </w:r>
      <w:r>
        <w:t>Rather</w:t>
      </w:r>
      <w:r w:rsidRPr="000B281D">
        <w:t>, the terms have been used</w:t>
      </w:r>
      <w:r>
        <w:t xml:space="preserve"> invariably</w:t>
      </w:r>
      <w:r w:rsidRPr="000B281D">
        <w:t xml:space="preserve"> in military manuals, legal literature, and case law since at least the early-twentieth century. Knut Dörmann, </w:t>
      </w:r>
      <w:r w:rsidRPr="000B281D">
        <w:rPr>
          <w:i/>
        </w:rPr>
        <w:t xml:space="preserve">The </w:t>
      </w:r>
      <w:r w:rsidRPr="000B281D">
        <w:rPr>
          <w:bCs/>
          <w:i/>
        </w:rPr>
        <w:t xml:space="preserve">Legal Situation of “Unlawful/Unprivileged Combatants,” </w:t>
      </w:r>
      <w:r w:rsidRPr="000B281D">
        <w:rPr>
          <w:bCs/>
        </w:rPr>
        <w:t xml:space="preserve">85 </w:t>
      </w:r>
      <w:r w:rsidRPr="000B281D">
        <w:rPr>
          <w:smallCaps/>
          <w:szCs w:val="20"/>
        </w:rPr>
        <w:t>Int’l Rev. of the Red Cross</w:t>
      </w:r>
      <w:r w:rsidRPr="000B281D">
        <w:rPr>
          <w:bCs/>
        </w:rPr>
        <w:t xml:space="preserve"> 45, 46 (2003); </w:t>
      </w:r>
      <w:r w:rsidRPr="000B281D">
        <w:t xml:space="preserve">Manooher Mofidi &amp; Amy E. Eckert, </w:t>
      </w:r>
      <w:r w:rsidRPr="000B281D">
        <w:rPr>
          <w:i/>
        </w:rPr>
        <w:t>“Unlawful Combatants” or “Prisoners of War”: The Law and Politics of Labels</w:t>
      </w:r>
      <w:r w:rsidRPr="000B281D">
        <w:t xml:space="preserve">, 36 </w:t>
      </w:r>
      <w:r w:rsidRPr="000B281D">
        <w:rPr>
          <w:smallCaps/>
          <w:szCs w:val="20"/>
        </w:rPr>
        <w:t xml:space="preserve">Cornell Int’l L.J. </w:t>
      </w:r>
      <w:r w:rsidRPr="000B281D">
        <w:t xml:space="preserve">59, 69-69 n.66 (2003). </w:t>
      </w:r>
    </w:p>
  </w:footnote>
  <w:footnote w:id="220">
    <w:p w14:paraId="73563A82" w14:textId="312A62C8" w:rsidR="009E62A3" w:rsidRDefault="009E62A3" w:rsidP="00B113CF">
      <w:pPr>
        <w:pStyle w:val="FootnoteText"/>
        <w:ind w:left="360" w:right="360"/>
        <w:jc w:val="both"/>
      </w:pPr>
      <w:r>
        <w:rPr>
          <w:rStyle w:val="FootnoteReference"/>
        </w:rPr>
        <w:footnoteRef/>
      </w:r>
      <w:r>
        <w:t xml:space="preserve"> 1949 </w:t>
      </w:r>
      <w:r w:rsidRPr="00A31025">
        <w:t>Geneva Convention III</w:t>
      </w:r>
      <w:r>
        <w:t>, art. 4.</w:t>
      </w:r>
    </w:p>
  </w:footnote>
  <w:footnote w:id="221">
    <w:p w14:paraId="4D75CE98" w14:textId="6C5EDE06" w:rsidR="009E62A3" w:rsidRDefault="009E62A3" w:rsidP="00B113CF">
      <w:pPr>
        <w:pStyle w:val="FootnoteText"/>
        <w:ind w:left="360" w:right="360"/>
        <w:jc w:val="both"/>
      </w:pPr>
      <w:r>
        <w:rPr>
          <w:rStyle w:val="FootnoteReference"/>
        </w:rPr>
        <w:footnoteRef/>
      </w:r>
      <w:r>
        <w:t xml:space="preserve"> </w:t>
      </w:r>
      <w:r w:rsidRPr="005D3CF0">
        <w:rPr>
          <w:i/>
        </w:rPr>
        <w:t>Id</w:t>
      </w:r>
      <w:r>
        <w:t>. at art. 4A(2).</w:t>
      </w:r>
    </w:p>
  </w:footnote>
  <w:footnote w:id="222">
    <w:p w14:paraId="7478B77C" w14:textId="02C84F13" w:rsidR="009E62A3" w:rsidRDefault="009E62A3" w:rsidP="00B113CF">
      <w:pPr>
        <w:pStyle w:val="FootnoteText"/>
        <w:ind w:left="360" w:right="360"/>
        <w:jc w:val="both"/>
      </w:pPr>
      <w:r>
        <w:rPr>
          <w:rStyle w:val="FootnoteReference"/>
        </w:rPr>
        <w:footnoteRef/>
      </w:r>
      <w:r>
        <w:t xml:space="preserve"> </w:t>
      </w:r>
      <w:r>
        <w:rPr>
          <w:szCs w:val="20"/>
        </w:rPr>
        <w:t xml:space="preserve">Mofidi &amp; </w:t>
      </w:r>
      <w:r w:rsidRPr="005340C0">
        <w:rPr>
          <w:szCs w:val="20"/>
        </w:rPr>
        <w:t>Eckert,</w:t>
      </w:r>
      <w:r>
        <w:rPr>
          <w:szCs w:val="20"/>
        </w:rPr>
        <w:t xml:space="preserve"> </w:t>
      </w:r>
      <w:r w:rsidRPr="00BB4910">
        <w:rPr>
          <w:i/>
          <w:iCs/>
          <w:szCs w:val="20"/>
        </w:rPr>
        <w:t>supra</w:t>
      </w:r>
      <w:r w:rsidRPr="00BB4910">
        <w:rPr>
          <w:szCs w:val="20"/>
        </w:rPr>
        <w:t> </w:t>
      </w:r>
      <w:r>
        <w:rPr>
          <w:szCs w:val="20"/>
        </w:rPr>
        <w:t>note 218, at 74.</w:t>
      </w:r>
    </w:p>
  </w:footnote>
  <w:footnote w:id="223">
    <w:p w14:paraId="5623FAF8" w14:textId="3FF6AD34" w:rsidR="009E62A3" w:rsidRPr="00230F3C" w:rsidRDefault="009E62A3" w:rsidP="00B113CF">
      <w:pPr>
        <w:pStyle w:val="FootnoteText"/>
        <w:ind w:left="360" w:right="360"/>
        <w:jc w:val="both"/>
        <w:rPr>
          <w:rFonts w:cs="Lucida Grande"/>
          <w:color w:val="000000"/>
        </w:rPr>
      </w:pPr>
      <w:r>
        <w:rPr>
          <w:rStyle w:val="FootnoteReference"/>
        </w:rPr>
        <w:footnoteRef/>
      </w:r>
      <w:r>
        <w:t xml:space="preserve"> </w:t>
      </w:r>
      <w:r w:rsidRPr="00860E12">
        <w:rPr>
          <w:smallCaps/>
          <w:szCs w:val="20"/>
        </w:rPr>
        <w:t xml:space="preserve">Elsea, </w:t>
      </w:r>
      <w:r w:rsidRPr="00BB4910">
        <w:rPr>
          <w:i/>
          <w:iCs/>
          <w:szCs w:val="20"/>
        </w:rPr>
        <w:t>supra</w:t>
      </w:r>
      <w:r w:rsidRPr="00BB4910">
        <w:rPr>
          <w:szCs w:val="20"/>
        </w:rPr>
        <w:t> </w:t>
      </w:r>
      <w:r>
        <w:rPr>
          <w:szCs w:val="20"/>
        </w:rPr>
        <w:t>note 30,</w:t>
      </w:r>
      <w:r w:rsidRPr="00BB4910">
        <w:rPr>
          <w:szCs w:val="20"/>
        </w:rPr>
        <w:t xml:space="preserve"> at</w:t>
      </w:r>
      <w:r>
        <w:rPr>
          <w:szCs w:val="20"/>
        </w:rPr>
        <w:t xml:space="preserve"> 9, 36</w:t>
      </w:r>
      <w:r>
        <w:t xml:space="preserve"> (discussing the examples of captured fighters from the </w:t>
      </w:r>
      <w:r w:rsidRPr="00B040EE">
        <w:t>North V</w:t>
      </w:r>
      <w:r>
        <w:t xml:space="preserve">ietnamese Army and Vietcong, as well as the Cuban-backed </w:t>
      </w:r>
      <w:r w:rsidRPr="00A82FA8">
        <w:t>Grenadian People’s Revolutionary Army</w:t>
      </w:r>
      <w:r>
        <w:t>)</w:t>
      </w:r>
      <w:r>
        <w:rPr>
          <w:rFonts w:cs="Lucida Grande"/>
          <w:color w:val="000000"/>
        </w:rPr>
        <w:t xml:space="preserve">. </w:t>
      </w:r>
      <w:r w:rsidRPr="007E2F8C">
        <w:rPr>
          <w:rFonts w:cs="Lucida Grande"/>
          <w:i/>
          <w:color w:val="000000"/>
        </w:rPr>
        <w:t>See also</w:t>
      </w:r>
      <w:r>
        <w:rPr>
          <w:rFonts w:cs="Lucida Grande"/>
          <w:color w:val="000000"/>
        </w:rPr>
        <w:t xml:space="preserve"> </w:t>
      </w:r>
      <w:r w:rsidRPr="007E2F8C">
        <w:rPr>
          <w:rFonts w:cs="Lucida Grande"/>
          <w:smallCaps/>
          <w:color w:val="000000"/>
          <w:szCs w:val="20"/>
        </w:rPr>
        <w:t>Maj. Gen. George S. Prugh, Law at War: Vietnam</w:t>
      </w:r>
      <w:r>
        <w:rPr>
          <w:rFonts w:cs="Lucida Grande"/>
          <w:color w:val="000000"/>
        </w:rPr>
        <w:t xml:space="preserve"> 1964-1973, at 66 (1975), </w:t>
      </w:r>
      <w:r w:rsidRPr="007E2F8C">
        <w:rPr>
          <w:rFonts w:cs="Lucida Grande"/>
          <w:i/>
          <w:color w:val="000000"/>
        </w:rPr>
        <w:t>available at</w:t>
      </w:r>
      <w:r>
        <w:rPr>
          <w:rFonts w:cs="Lucida Grande"/>
          <w:color w:val="000000"/>
        </w:rPr>
        <w:t xml:space="preserve"> </w:t>
      </w:r>
      <w:r w:rsidRPr="007E2F8C">
        <w:rPr>
          <w:rFonts w:cs="Lucida Grande"/>
          <w:color w:val="000000"/>
        </w:rPr>
        <w:t>http://www.loc.gov/rr/frd/Military_Law/pdf/law-at-war.pdf</w:t>
      </w:r>
      <w:r>
        <w:rPr>
          <w:rFonts w:cs="Lucida Grande"/>
          <w:color w:val="000000"/>
        </w:rPr>
        <w:t xml:space="preserve">  (“[I]t </w:t>
      </w:r>
      <w:r w:rsidRPr="00230F3C">
        <w:rPr>
          <w:rFonts w:cs="Lucida Grande"/>
          <w:color w:val="000000"/>
        </w:rPr>
        <w:t xml:space="preserve">was certainly arguable that many Viet Cong did not meet the criteria of guerrillas entitled to prisoner of war status under Article 4, Geneva Prisoner of War Conventions. However, civil incarceration and criminal trial of the great number of Viet Cong was too much for the civil resources at hand. </w:t>
      </w:r>
      <w:r>
        <w:rPr>
          <w:rFonts w:cs="Lucida Grande"/>
          <w:color w:val="000000"/>
        </w:rPr>
        <w:t xml:space="preserve">. . . </w:t>
      </w:r>
      <w:r w:rsidRPr="00230F3C">
        <w:rPr>
          <w:rFonts w:cs="Lucida Grande"/>
          <w:color w:val="000000"/>
        </w:rPr>
        <w:t>By broadly construing Article 4, so as to accord full prisoner of war status to Viet Cong Main Force and Local F</w:t>
      </w:r>
      <w:r>
        <w:rPr>
          <w:rFonts w:cs="Lucida Grande"/>
          <w:color w:val="000000"/>
        </w:rPr>
        <w:t xml:space="preserve">orce troops, as well as regular </w:t>
      </w:r>
      <w:r w:rsidRPr="00230F3C">
        <w:rPr>
          <w:rFonts w:cs="Lucida Grande"/>
          <w:color w:val="000000"/>
        </w:rPr>
        <w:t>North Vietnamese Army troops, any Viet Cong taken in combat would be detained for a prisoner of war camp rather than a civilian jail. The MACV policy was that all combatants captured during military operations were to be accorded prisoner of war status, irrespective of the type of unit to which they belonged</w:t>
      </w:r>
      <w:r>
        <w:rPr>
          <w:rFonts w:cs="Lucida Grande"/>
          <w:color w:val="000000"/>
        </w:rPr>
        <w:t>.”).</w:t>
      </w:r>
    </w:p>
  </w:footnote>
  <w:footnote w:id="224">
    <w:p w14:paraId="3D5FDDBA" w14:textId="1C4E078E" w:rsidR="009E62A3" w:rsidRDefault="009E62A3" w:rsidP="00B113CF">
      <w:pPr>
        <w:pStyle w:val="FootnoteText"/>
        <w:ind w:left="360" w:right="360"/>
        <w:jc w:val="both"/>
      </w:pPr>
      <w:r>
        <w:rPr>
          <w:rStyle w:val="FootnoteReference"/>
        </w:rPr>
        <w:footnoteRef/>
      </w:r>
      <w:r>
        <w:t xml:space="preserve"> </w:t>
      </w:r>
      <w:r w:rsidRPr="003C7E76">
        <w:rPr>
          <w:smallCaps/>
          <w:szCs w:val="20"/>
        </w:rPr>
        <w:t>Elsea,</w:t>
      </w:r>
      <w:r>
        <w:t xml:space="preserve"> </w:t>
      </w:r>
      <w:r w:rsidRPr="007E2F8C">
        <w:rPr>
          <w:i/>
        </w:rPr>
        <w:t>supra</w:t>
      </w:r>
      <w:r>
        <w:t xml:space="preserve"> note 30, at 9 (noting the example of the U.S. endorsement of the Philippine resistance movement during World War II). </w:t>
      </w:r>
    </w:p>
  </w:footnote>
  <w:footnote w:id="225">
    <w:p w14:paraId="21C9F60C" w14:textId="77777777" w:rsidR="009E62A3" w:rsidRDefault="009E62A3" w:rsidP="00B113CF">
      <w:pPr>
        <w:pStyle w:val="FootnoteText"/>
        <w:ind w:left="360" w:right="360"/>
        <w:jc w:val="both"/>
      </w:pPr>
      <w:r>
        <w:rPr>
          <w:rStyle w:val="FootnoteReference"/>
        </w:rPr>
        <w:footnoteRef/>
      </w:r>
      <w:r>
        <w:t xml:space="preserve"> </w:t>
      </w:r>
      <w:r w:rsidRPr="001970BA">
        <w:rPr>
          <w:i/>
        </w:rPr>
        <w:t>Id</w:t>
      </w:r>
      <w:r>
        <w:t xml:space="preserve">. at 9-10. </w:t>
      </w:r>
      <w:r w:rsidRPr="0044780B">
        <w:rPr>
          <w:rFonts w:cs="Lucida Grande"/>
          <w:i/>
          <w:color w:val="000000"/>
        </w:rPr>
        <w:t>See also</w:t>
      </w:r>
      <w:r>
        <w:rPr>
          <w:rFonts w:cs="Lucida Grande"/>
          <w:color w:val="000000"/>
        </w:rPr>
        <w:t xml:space="preserve"> </w:t>
      </w:r>
      <w:r>
        <w:rPr>
          <w:i/>
          <w:iCs/>
        </w:rPr>
        <w:t>Communist Treatment of Prisoners of War: A Historical Survey: Hearing Before the Subcomm. to Investigate the Admin. of the Internal Security Act &amp; Other Internal Security Laws of the S</w:t>
      </w:r>
      <w:r w:rsidRPr="00930C7F">
        <w:rPr>
          <w:i/>
          <w:iCs/>
        </w:rPr>
        <w:t xml:space="preserve">. Comm. </w:t>
      </w:r>
      <w:r>
        <w:rPr>
          <w:i/>
          <w:iCs/>
        </w:rPr>
        <w:t>on the Judiciary</w:t>
      </w:r>
      <w:r>
        <w:t>, 92nd</w:t>
      </w:r>
      <w:r w:rsidRPr="00930C7F">
        <w:t xml:space="preserve"> Cong. </w:t>
      </w:r>
      <w:r>
        <w:t>22 (1972</w:t>
      </w:r>
      <w:r w:rsidRPr="00930C7F">
        <w:t>) (</w:t>
      </w:r>
      <w:r>
        <w:rPr>
          <w:rFonts w:eastAsia="Times New Roman" w:cs="Arial"/>
        </w:rPr>
        <w:t>noting, among other examples, U.S. objections to the North Vietnamese labeling of captured U.S. fighter pilots as “air pirates” and war “criminals” subject to punishment</w:t>
      </w:r>
      <w:r w:rsidRPr="00930C7F">
        <w:t>).</w:t>
      </w:r>
    </w:p>
  </w:footnote>
  <w:footnote w:id="226">
    <w:p w14:paraId="5BF0FD27" w14:textId="7123F024" w:rsidR="009E62A3" w:rsidRDefault="009E62A3" w:rsidP="00B113CF">
      <w:pPr>
        <w:pStyle w:val="FootnoteText"/>
        <w:ind w:left="360" w:right="360"/>
        <w:jc w:val="both"/>
      </w:pPr>
      <w:r>
        <w:rPr>
          <w:rStyle w:val="FootnoteReference"/>
        </w:rPr>
        <w:footnoteRef/>
      </w:r>
      <w:r>
        <w:t xml:space="preserve"> </w:t>
      </w:r>
      <w:r>
        <w:rPr>
          <w:szCs w:val="20"/>
        </w:rPr>
        <w:t xml:space="preserve">Mofidi &amp; </w:t>
      </w:r>
      <w:r w:rsidRPr="005340C0">
        <w:rPr>
          <w:szCs w:val="20"/>
        </w:rPr>
        <w:t>Eckert,</w:t>
      </w:r>
      <w:r>
        <w:rPr>
          <w:szCs w:val="20"/>
        </w:rPr>
        <w:t xml:space="preserve"> </w:t>
      </w:r>
      <w:r w:rsidRPr="00BB4910">
        <w:rPr>
          <w:i/>
          <w:iCs/>
          <w:szCs w:val="20"/>
        </w:rPr>
        <w:t>supra</w:t>
      </w:r>
      <w:r w:rsidRPr="00BB4910">
        <w:rPr>
          <w:szCs w:val="20"/>
        </w:rPr>
        <w:t> </w:t>
      </w:r>
      <w:r>
        <w:rPr>
          <w:szCs w:val="20"/>
        </w:rPr>
        <w:t>note 218, at 88.</w:t>
      </w:r>
    </w:p>
  </w:footnote>
  <w:footnote w:id="227">
    <w:p w14:paraId="3BD6A0E6" w14:textId="47D84A6E" w:rsidR="009E62A3" w:rsidRDefault="009E62A3" w:rsidP="00B113CF">
      <w:pPr>
        <w:pStyle w:val="FootnoteText"/>
        <w:ind w:left="360" w:right="360"/>
        <w:jc w:val="both"/>
      </w:pPr>
      <w:r>
        <w:rPr>
          <w:rStyle w:val="FootnoteReference"/>
        </w:rPr>
        <w:footnoteRef/>
      </w:r>
      <w:r>
        <w:t xml:space="preserve"> </w:t>
      </w:r>
      <w:r w:rsidRPr="008D2F9D">
        <w:rPr>
          <w:i/>
        </w:rPr>
        <w:t>See, e.g.</w:t>
      </w:r>
      <w:r>
        <w:t xml:space="preserve">, 1949 </w:t>
      </w:r>
      <w:r w:rsidRPr="00A31025">
        <w:t>Geneva Convention III</w:t>
      </w:r>
      <w:r>
        <w:t>, art. 3.</w:t>
      </w:r>
    </w:p>
  </w:footnote>
  <w:footnote w:id="228">
    <w:p w14:paraId="7B16CFC7" w14:textId="678AEDFC" w:rsidR="009E62A3" w:rsidRDefault="009E62A3" w:rsidP="00B113CF">
      <w:pPr>
        <w:pStyle w:val="FootnoteText"/>
        <w:ind w:left="360" w:right="360"/>
        <w:jc w:val="both"/>
      </w:pPr>
      <w:r>
        <w:rPr>
          <w:rStyle w:val="FootnoteReference"/>
        </w:rPr>
        <w:footnoteRef/>
      </w:r>
      <w:r>
        <w:t xml:space="preserve"> </w:t>
      </w:r>
      <w:r w:rsidRPr="001970BA">
        <w:rPr>
          <w:i/>
        </w:rPr>
        <w:t>Id</w:t>
      </w:r>
      <w:r>
        <w:t>.</w:t>
      </w:r>
    </w:p>
  </w:footnote>
  <w:footnote w:id="229">
    <w:p w14:paraId="195C9E32" w14:textId="433CB86D" w:rsidR="009E62A3" w:rsidRDefault="009E62A3" w:rsidP="00B113CF">
      <w:pPr>
        <w:pStyle w:val="FootnoteText"/>
        <w:ind w:left="360" w:right="360"/>
        <w:jc w:val="both"/>
      </w:pPr>
      <w:r>
        <w:rPr>
          <w:rStyle w:val="FootnoteReference"/>
        </w:rPr>
        <w:footnoteRef/>
      </w:r>
      <w:r>
        <w:t xml:space="preserve"> Hamdan v. Rumsfeld, 548 U.S. 557, 631-32 (2006) (quoting 1949 </w:t>
      </w:r>
      <w:r w:rsidRPr="00A31025">
        <w:t>Geneva Convention III</w:t>
      </w:r>
      <w:r>
        <w:t>, art. 3(1)(d)) (plurality opinion).</w:t>
      </w:r>
    </w:p>
  </w:footnote>
  <w:footnote w:id="230">
    <w:p w14:paraId="112DB58A" w14:textId="77777777" w:rsidR="009E62A3" w:rsidRDefault="009E62A3" w:rsidP="00B113CF">
      <w:pPr>
        <w:pStyle w:val="FootnoteText"/>
        <w:ind w:left="360" w:right="360"/>
        <w:jc w:val="both"/>
      </w:pPr>
      <w:r>
        <w:rPr>
          <w:rStyle w:val="FootnoteReference"/>
        </w:rPr>
        <w:footnoteRef/>
      </w:r>
      <w:r>
        <w:t xml:space="preserve"> </w:t>
      </w:r>
      <w:r w:rsidRPr="00930C7F">
        <w:rPr>
          <w:iCs/>
        </w:rPr>
        <w:t>Boumediene</w:t>
      </w:r>
      <w:r>
        <w:rPr>
          <w:iCs/>
        </w:rPr>
        <w:t xml:space="preserve"> v. Bush, 553 U.S. 723, 755, 794-95 (2008) </w:t>
      </w:r>
      <w:r>
        <w:t>(plurality opinion).</w:t>
      </w:r>
    </w:p>
  </w:footnote>
  <w:footnote w:id="231">
    <w:p w14:paraId="71D01868" w14:textId="254B4B0F" w:rsidR="009E62A3" w:rsidRDefault="009E62A3" w:rsidP="008F197A">
      <w:pPr>
        <w:pStyle w:val="FootnoteText"/>
        <w:ind w:left="360"/>
        <w:jc w:val="both"/>
      </w:pPr>
      <w:r>
        <w:rPr>
          <w:rStyle w:val="FootnoteReference"/>
        </w:rPr>
        <w:footnoteRef/>
      </w:r>
      <w:r>
        <w:t xml:space="preserve"> </w:t>
      </w:r>
      <w:r w:rsidRPr="00930C7F">
        <w:rPr>
          <w:i/>
          <w:iCs/>
        </w:rPr>
        <w:t xml:space="preserve">Implications of the Supreme Court’s </w:t>
      </w:r>
      <w:r w:rsidRPr="00930C7F">
        <w:rPr>
          <w:iCs/>
        </w:rPr>
        <w:t>Boumediene</w:t>
      </w:r>
      <w:r w:rsidRPr="00930C7F">
        <w:rPr>
          <w:i/>
          <w:iCs/>
        </w:rPr>
        <w:t xml:space="preserve"> Decision for Detainees at Guantanamo Bay, Cuba: Administration Perspectives: Hearing Before H. Comm. Armed Services</w:t>
      </w:r>
      <w:r w:rsidRPr="00930C7F">
        <w:t>, 110th Cong. H.A.S.C. No. 110-167</w:t>
      </w:r>
      <w:r>
        <w:t>, at 82</w:t>
      </w:r>
      <w:r w:rsidRPr="00930C7F">
        <w:t xml:space="preserve"> (2008) (</w:t>
      </w:r>
      <w:r>
        <w:t>supplemental testimony</w:t>
      </w:r>
      <w:r w:rsidRPr="00930C7F">
        <w:t xml:space="preserve"> of </w:t>
      </w:r>
      <w:r>
        <w:t>Col. Steven David</w:t>
      </w:r>
      <w:r w:rsidRPr="00930C7F">
        <w:t>).</w:t>
      </w:r>
    </w:p>
  </w:footnote>
  <w:footnote w:id="232">
    <w:p w14:paraId="2F7F0269" w14:textId="7747FD98" w:rsidR="009E62A3" w:rsidRPr="008F197A" w:rsidRDefault="009E62A3" w:rsidP="00B113CF">
      <w:pPr>
        <w:pStyle w:val="FootnoteText"/>
        <w:ind w:left="360" w:right="360"/>
        <w:jc w:val="both"/>
      </w:pPr>
      <w:r>
        <w:rPr>
          <w:rStyle w:val="FootnoteReference"/>
        </w:rPr>
        <w:footnoteRef/>
      </w:r>
      <w:r>
        <w:t xml:space="preserve"> </w:t>
      </w:r>
      <w:r w:rsidRPr="00930C7F">
        <w:rPr>
          <w:i/>
          <w:iCs/>
        </w:rPr>
        <w:t>I</w:t>
      </w:r>
      <w:r>
        <w:rPr>
          <w:i/>
          <w:iCs/>
        </w:rPr>
        <w:t>d</w:t>
      </w:r>
      <w:r>
        <w:rPr>
          <w:iCs/>
        </w:rPr>
        <w:t>.</w:t>
      </w:r>
    </w:p>
  </w:footnote>
  <w:footnote w:id="233">
    <w:p w14:paraId="41C0E2FC" w14:textId="47E3DDDB" w:rsidR="009E62A3" w:rsidRDefault="009E62A3" w:rsidP="00B113CF">
      <w:pPr>
        <w:pStyle w:val="FootnoteText"/>
        <w:ind w:left="360" w:right="360"/>
        <w:jc w:val="both"/>
      </w:pPr>
      <w:r>
        <w:rPr>
          <w:rStyle w:val="FootnoteReference"/>
        </w:rPr>
        <w:footnoteRef/>
      </w:r>
      <w:r>
        <w:t xml:space="preserve"> </w:t>
      </w:r>
      <w:r w:rsidRPr="009D0B88">
        <w:rPr>
          <w:bCs/>
          <w:szCs w:val="20"/>
        </w:rPr>
        <w:t xml:space="preserve">S. </w:t>
      </w:r>
      <w:r>
        <w:rPr>
          <w:bCs/>
          <w:szCs w:val="20"/>
        </w:rPr>
        <w:t xml:space="preserve">Select </w:t>
      </w:r>
      <w:r w:rsidRPr="009D0B88">
        <w:rPr>
          <w:bCs/>
          <w:szCs w:val="20"/>
        </w:rPr>
        <w:t xml:space="preserve">Comm. on </w:t>
      </w:r>
      <w:r>
        <w:rPr>
          <w:bCs/>
          <w:szCs w:val="20"/>
        </w:rPr>
        <w:t>Intelligence, 113th</w:t>
      </w:r>
      <w:r w:rsidRPr="009D0B88">
        <w:rPr>
          <w:bCs/>
          <w:szCs w:val="20"/>
        </w:rPr>
        <w:t xml:space="preserve"> Cong., </w:t>
      </w:r>
      <w:r>
        <w:rPr>
          <w:bCs/>
          <w:szCs w:val="20"/>
        </w:rPr>
        <w:t>Comm. Study of the Cent. Intelligence Agency’s Detention and Interrogation Program: Findings and Conclusions</w:t>
      </w:r>
      <w:r w:rsidRPr="009D0B88">
        <w:rPr>
          <w:bCs/>
          <w:szCs w:val="20"/>
        </w:rPr>
        <w:t xml:space="preserve"> (</w:t>
      </w:r>
      <w:r>
        <w:rPr>
          <w:bCs/>
          <w:szCs w:val="20"/>
        </w:rPr>
        <w:t xml:space="preserve">2014), </w:t>
      </w:r>
      <w:r w:rsidRPr="004D08D6">
        <w:rPr>
          <w:bCs/>
          <w:i/>
          <w:szCs w:val="20"/>
        </w:rPr>
        <w:t>available at</w:t>
      </w:r>
      <w:r>
        <w:rPr>
          <w:bCs/>
          <w:szCs w:val="20"/>
        </w:rPr>
        <w:t xml:space="preserve"> </w:t>
      </w:r>
      <w:r w:rsidRPr="00F56988">
        <w:rPr>
          <w:bCs/>
          <w:szCs w:val="20"/>
        </w:rPr>
        <w:t>http://www.intelligence.senate.gov/sites/default/files/press/findings-and-conclusions.pdf</w:t>
      </w:r>
      <w:r>
        <w:rPr>
          <w:bCs/>
          <w:szCs w:val="20"/>
        </w:rPr>
        <w:t>.</w:t>
      </w:r>
    </w:p>
  </w:footnote>
  <w:footnote w:id="234">
    <w:p w14:paraId="76EAFD4E" w14:textId="41AF7A67" w:rsidR="009E62A3" w:rsidRDefault="009E62A3" w:rsidP="00B113CF">
      <w:pPr>
        <w:pStyle w:val="FootnoteText"/>
        <w:ind w:left="360" w:right="360"/>
        <w:jc w:val="both"/>
      </w:pPr>
      <w:r>
        <w:rPr>
          <w:rStyle w:val="FootnoteReference"/>
        </w:rPr>
        <w:footnoteRef/>
      </w:r>
      <w:r>
        <w:t xml:space="preserve"> </w:t>
      </w:r>
      <w:r w:rsidRPr="001970BA">
        <w:rPr>
          <w:i/>
        </w:rPr>
        <w:t>Id</w:t>
      </w:r>
      <w:r>
        <w:t>. at 2, 3, 4.</w:t>
      </w:r>
    </w:p>
  </w:footnote>
  <w:footnote w:id="235">
    <w:p w14:paraId="3A5AF1F2" w14:textId="61C8FCA1" w:rsidR="009E62A3" w:rsidRPr="00F56988" w:rsidRDefault="009E62A3" w:rsidP="00B113CF">
      <w:pPr>
        <w:pStyle w:val="FootnoteText"/>
        <w:ind w:left="360" w:right="360"/>
        <w:jc w:val="both"/>
      </w:pPr>
      <w:r>
        <w:rPr>
          <w:rStyle w:val="FootnoteReference"/>
        </w:rPr>
        <w:footnoteRef/>
      </w:r>
      <w:r>
        <w:t xml:space="preserve"> </w:t>
      </w:r>
      <w:r w:rsidRPr="009D0B88">
        <w:rPr>
          <w:bCs/>
          <w:szCs w:val="20"/>
        </w:rPr>
        <w:t xml:space="preserve">S. </w:t>
      </w:r>
      <w:r>
        <w:rPr>
          <w:bCs/>
          <w:szCs w:val="20"/>
        </w:rPr>
        <w:t xml:space="preserve">Select </w:t>
      </w:r>
      <w:r w:rsidRPr="009D0B88">
        <w:rPr>
          <w:bCs/>
          <w:szCs w:val="20"/>
        </w:rPr>
        <w:t xml:space="preserve">Comm. on </w:t>
      </w:r>
      <w:r>
        <w:rPr>
          <w:bCs/>
          <w:szCs w:val="20"/>
        </w:rPr>
        <w:t>Intelligence, 113th</w:t>
      </w:r>
      <w:r w:rsidRPr="009D0B88">
        <w:rPr>
          <w:bCs/>
          <w:szCs w:val="20"/>
        </w:rPr>
        <w:t xml:space="preserve"> Cong., </w:t>
      </w:r>
      <w:r>
        <w:rPr>
          <w:bCs/>
          <w:szCs w:val="20"/>
        </w:rPr>
        <w:t>Comm. Study of the Cent. Intelligence Agency’s Detention and Interrogation Program: Foreword</w:t>
      </w:r>
      <w:r w:rsidRPr="009D0B88">
        <w:rPr>
          <w:bCs/>
          <w:szCs w:val="20"/>
        </w:rPr>
        <w:t xml:space="preserve"> </w:t>
      </w:r>
      <w:r>
        <w:rPr>
          <w:bCs/>
          <w:szCs w:val="20"/>
        </w:rPr>
        <w:t xml:space="preserve">2 </w:t>
      </w:r>
      <w:r w:rsidRPr="009D0B88">
        <w:rPr>
          <w:bCs/>
          <w:szCs w:val="20"/>
        </w:rPr>
        <w:t>(</w:t>
      </w:r>
      <w:r>
        <w:rPr>
          <w:bCs/>
          <w:szCs w:val="20"/>
        </w:rPr>
        <w:t xml:space="preserve">2014), </w:t>
      </w:r>
      <w:r w:rsidRPr="004D08D6">
        <w:rPr>
          <w:bCs/>
          <w:i/>
          <w:szCs w:val="20"/>
        </w:rPr>
        <w:t>available at</w:t>
      </w:r>
      <w:r>
        <w:rPr>
          <w:bCs/>
          <w:i/>
          <w:szCs w:val="20"/>
        </w:rPr>
        <w:t xml:space="preserve"> </w:t>
      </w:r>
      <w:r w:rsidRPr="00F56988">
        <w:rPr>
          <w:bCs/>
          <w:szCs w:val="20"/>
        </w:rPr>
        <w:t>http://www.intelligence.senate.gov/sites/default/files/press/foreword.pdf.</w:t>
      </w:r>
    </w:p>
  </w:footnote>
  <w:footnote w:id="236">
    <w:p w14:paraId="1D87D0D3" w14:textId="7811A5DF" w:rsidR="009E62A3" w:rsidRDefault="009E62A3" w:rsidP="003A0833">
      <w:pPr>
        <w:pStyle w:val="FootnoteText"/>
        <w:ind w:left="360"/>
      </w:pPr>
      <w:r>
        <w:rPr>
          <w:rStyle w:val="FootnoteReference"/>
        </w:rPr>
        <w:footnoteRef/>
      </w:r>
      <w:r>
        <w:t xml:space="preserve"> </w:t>
      </w:r>
      <w:r w:rsidRPr="003A0833">
        <w:rPr>
          <w:i/>
        </w:rPr>
        <w:t>Id</w:t>
      </w:r>
      <w:r>
        <w:t>. at 3.</w:t>
      </w:r>
    </w:p>
  </w:footnote>
  <w:footnote w:id="237">
    <w:p w14:paraId="789A35DC" w14:textId="29F1D204" w:rsidR="009E62A3" w:rsidRDefault="009E62A3" w:rsidP="003A0833">
      <w:pPr>
        <w:pStyle w:val="FootnoteText"/>
        <w:ind w:left="360"/>
      </w:pPr>
      <w:r>
        <w:rPr>
          <w:rStyle w:val="FootnoteReference"/>
        </w:rPr>
        <w:footnoteRef/>
      </w:r>
      <w:r>
        <w:t xml:space="preserve"> </w:t>
      </w:r>
      <w:r w:rsidRPr="003A0833">
        <w:rPr>
          <w:i/>
        </w:rPr>
        <w:t>Id</w:t>
      </w:r>
      <w:r>
        <w:t>. at 4.</w:t>
      </w:r>
    </w:p>
  </w:footnote>
  <w:footnote w:id="238">
    <w:p w14:paraId="585912A5" w14:textId="3C4A88C0" w:rsidR="009E62A3" w:rsidRDefault="009E62A3" w:rsidP="00794DE0">
      <w:pPr>
        <w:pStyle w:val="FootnoteText"/>
        <w:ind w:left="360"/>
      </w:pPr>
      <w:r>
        <w:rPr>
          <w:rStyle w:val="FootnoteReference"/>
        </w:rPr>
        <w:footnoteRef/>
      </w:r>
      <w:r>
        <w:t xml:space="preserve"> S. Amdt. 1889 to H.R. 1735, 114th Cong., 1st Sess. (2015) (as passed by Senate, June 16, 2015). Evocative of statements made in the 1945 </w:t>
      </w:r>
      <w:r w:rsidRPr="00481778">
        <w:t>House Committee on Military Affairs</w:t>
      </w:r>
      <w:r>
        <w:t xml:space="preserve"> report, Sen. John McCain, following Senate approval of the amendment, reminded Congress of the importance of upholding America’s moral and ethical code, even when confronted by those who seek to destroy it: “</w:t>
      </w:r>
      <w:r w:rsidRPr="00794DE0">
        <w:t>Our enemies act without conscience. We must not.</w:t>
      </w:r>
      <w:r>
        <w:t xml:space="preserve">” Julian Hattem, </w:t>
      </w:r>
      <w:r w:rsidRPr="00794DE0">
        <w:rPr>
          <w:i/>
        </w:rPr>
        <w:t>Senate Votes to Ban Use of Torture</w:t>
      </w:r>
      <w:r>
        <w:t xml:space="preserve">, </w:t>
      </w:r>
      <w:r w:rsidRPr="00794DE0">
        <w:rPr>
          <w:smallCaps/>
          <w:szCs w:val="20"/>
        </w:rPr>
        <w:t>The Hill</w:t>
      </w:r>
      <w:r>
        <w:t xml:space="preserve"> (June 16, 2015), </w:t>
      </w:r>
      <w:r w:rsidRPr="00794DE0">
        <w:t>http://thehill.com/policy/national-security/245117-senate-votes-to-permanently-ban-use-of-torture</w:t>
      </w:r>
      <w:r>
        <w:t>.</w:t>
      </w:r>
      <w:r w:rsidRPr="00794DE0">
        <w:t xml:space="preserve"> </w:t>
      </w:r>
      <w:r>
        <w:t xml:space="preserve">For a particularly cynical analysis of the amendment, see Jason Leopold, </w:t>
      </w:r>
      <w:r w:rsidRPr="00D17363">
        <w:rPr>
          <w:i/>
        </w:rPr>
        <w:t>A Bipartisan Group of US Senators Would Like to Re-Ban Torture Again</w:t>
      </w:r>
      <w:r>
        <w:t xml:space="preserve">, </w:t>
      </w:r>
      <w:r w:rsidRPr="00D17363">
        <w:rPr>
          <w:smallCaps/>
          <w:szCs w:val="20"/>
        </w:rPr>
        <w:t>Vice News</w:t>
      </w:r>
      <w:r>
        <w:t xml:space="preserve"> (June 9, 2015), </w:t>
      </w:r>
      <w:r w:rsidRPr="00D17363">
        <w:t>https://news.vice.com/article/a-bipartisan-group-of-us-senators-would-like-to-re-ban-torture-again</w:t>
      </w:r>
      <w:r>
        <w:t>.</w:t>
      </w:r>
    </w:p>
  </w:footnote>
  <w:footnote w:id="239">
    <w:p w14:paraId="64BEB76E" w14:textId="2F1A2DD5" w:rsidR="009E62A3" w:rsidRPr="005340C0" w:rsidRDefault="009E62A3" w:rsidP="00BD679A">
      <w:pPr>
        <w:pStyle w:val="FootnoteText"/>
        <w:ind w:left="360" w:right="360"/>
        <w:jc w:val="both"/>
        <w:rPr>
          <w:szCs w:val="20"/>
        </w:rPr>
      </w:pPr>
      <w:r w:rsidRPr="005340C0">
        <w:rPr>
          <w:rStyle w:val="FootnoteReference"/>
          <w:szCs w:val="20"/>
        </w:rPr>
        <w:footnoteRef/>
      </w:r>
      <w:r w:rsidRPr="005340C0">
        <w:rPr>
          <w:szCs w:val="20"/>
        </w:rPr>
        <w:t xml:space="preserve"> </w:t>
      </w:r>
      <w:r>
        <w:rPr>
          <w:smallCaps/>
          <w:szCs w:val="20"/>
        </w:rPr>
        <w:t xml:space="preserve">Doyle, </w:t>
      </w:r>
      <w:r w:rsidRPr="00BB4910">
        <w:rPr>
          <w:i/>
          <w:iCs/>
          <w:szCs w:val="20"/>
        </w:rPr>
        <w:t>supra</w:t>
      </w:r>
      <w:r w:rsidRPr="00BB4910">
        <w:rPr>
          <w:szCs w:val="20"/>
        </w:rPr>
        <w:t> </w:t>
      </w:r>
      <w:r>
        <w:rPr>
          <w:szCs w:val="20"/>
        </w:rPr>
        <w:t xml:space="preserve">note 5, at </w:t>
      </w:r>
      <w:r w:rsidRPr="005340C0">
        <w:rPr>
          <w:szCs w:val="20"/>
        </w:rPr>
        <w:t>98-99</w:t>
      </w:r>
      <w:r>
        <w:rPr>
          <w:szCs w:val="20"/>
        </w:rPr>
        <w:t>, 102</w:t>
      </w:r>
      <w:r w:rsidRPr="005340C0">
        <w:rPr>
          <w:szCs w:val="20"/>
        </w:rPr>
        <w:t>.</w:t>
      </w:r>
    </w:p>
  </w:footnote>
  <w:footnote w:id="240">
    <w:p w14:paraId="038FD2C1" w14:textId="1B3E5C99" w:rsidR="009E62A3" w:rsidRDefault="009E62A3" w:rsidP="00BD679A">
      <w:pPr>
        <w:pStyle w:val="FootnoteText"/>
        <w:ind w:left="360" w:right="360"/>
        <w:jc w:val="both"/>
      </w:pPr>
      <w:r>
        <w:rPr>
          <w:rStyle w:val="FootnoteReference"/>
        </w:rPr>
        <w:footnoteRef/>
      </w:r>
      <w:r>
        <w:t xml:space="preserve"> </w:t>
      </w:r>
      <w:r>
        <w:rPr>
          <w:szCs w:val="20"/>
        </w:rPr>
        <w:t xml:space="preserve">David, </w:t>
      </w:r>
      <w:r w:rsidRPr="00641C74">
        <w:rPr>
          <w:i/>
          <w:szCs w:val="20"/>
        </w:rPr>
        <w:t xml:space="preserve">supra </w:t>
      </w:r>
      <w:r>
        <w:rPr>
          <w:szCs w:val="20"/>
        </w:rPr>
        <w:t>note 213, at 382</w:t>
      </w:r>
      <w:r>
        <w:t xml:space="preserve">; </w:t>
      </w:r>
      <w:r w:rsidRPr="007D561C">
        <w:t>Justice Frank</w:t>
      </w:r>
      <w:r>
        <w:t xml:space="preserve"> Sullivan, Jr.,</w:t>
      </w:r>
      <w:r w:rsidRPr="007D561C">
        <w:t xml:space="preserve"> </w:t>
      </w:r>
      <w:r w:rsidRPr="007D561C">
        <w:rPr>
          <w:i/>
        </w:rPr>
        <w:t xml:space="preserve">Indianapolis Judges and Lawyers Dramatize </w:t>
      </w:r>
      <w:r w:rsidRPr="007D561C">
        <w:t>Ex Parte Milligan,</w:t>
      </w:r>
      <w:r w:rsidRPr="007D561C">
        <w:rPr>
          <w:i/>
        </w:rPr>
        <w:t xml:space="preserve"> A Historical Trial of Contemporary Significance</w:t>
      </w:r>
      <w:r w:rsidRPr="007D561C">
        <w:t>, 37 Ind. L. Rev. 661</w:t>
      </w:r>
      <w:r>
        <w:t>, 662</w:t>
      </w:r>
      <w:r w:rsidRPr="007D561C">
        <w:t xml:space="preserve"> (2004).</w:t>
      </w:r>
    </w:p>
  </w:footnote>
  <w:footnote w:id="241">
    <w:p w14:paraId="3F94D6C8" w14:textId="3DADEB36" w:rsidR="009E62A3" w:rsidRDefault="009E62A3" w:rsidP="007256AD">
      <w:pPr>
        <w:pStyle w:val="FootnoteText"/>
        <w:ind w:left="360" w:right="360"/>
        <w:jc w:val="both"/>
      </w:pPr>
      <w:r>
        <w:rPr>
          <w:rStyle w:val="FootnoteReference"/>
        </w:rPr>
        <w:footnoteRef/>
      </w:r>
      <w:r>
        <w:t xml:space="preserve"> </w:t>
      </w:r>
      <w:r w:rsidRPr="007256AD">
        <w:rPr>
          <w:i/>
        </w:rPr>
        <w:t>Ex Parte</w:t>
      </w:r>
      <w:r>
        <w:t xml:space="preserve"> Milligan, 71 U.S. 2, 121 (1866) (“[T]he [laws and usages of war] </w:t>
      </w:r>
      <w:r w:rsidRPr="007256AD">
        <w:t>can never be applied to citizens in states which have upheld the authority of the government, and where the courts are open and their process unobstructed.</w:t>
      </w:r>
      <w:r>
        <w:t>”).</w:t>
      </w:r>
    </w:p>
  </w:footnote>
  <w:footnote w:id="242">
    <w:p w14:paraId="1BCD97FE" w14:textId="2AB39067" w:rsidR="009E62A3" w:rsidRDefault="009E62A3" w:rsidP="00BD679A">
      <w:pPr>
        <w:pStyle w:val="FootnoteText"/>
        <w:ind w:left="360" w:right="360"/>
        <w:jc w:val="both"/>
      </w:pPr>
      <w:r>
        <w:rPr>
          <w:rStyle w:val="FootnoteReference"/>
        </w:rPr>
        <w:footnoteRef/>
      </w:r>
      <w:r>
        <w:t xml:space="preserve"> </w:t>
      </w:r>
      <w:r>
        <w:rPr>
          <w:i/>
        </w:rPr>
        <w:t>Id</w:t>
      </w:r>
      <w:r>
        <w:t>. at 120-21.</w:t>
      </w:r>
    </w:p>
  </w:footnote>
  <w:footnote w:id="243">
    <w:p w14:paraId="4BAAEF67" w14:textId="45B785B3" w:rsidR="009E62A3" w:rsidRDefault="009E62A3" w:rsidP="00BD679A">
      <w:pPr>
        <w:pStyle w:val="FootnoteText"/>
        <w:ind w:left="360" w:right="360"/>
        <w:jc w:val="both"/>
      </w:pPr>
      <w:r>
        <w:rPr>
          <w:rStyle w:val="FootnoteReference"/>
        </w:rPr>
        <w:footnoteRef/>
      </w:r>
      <w:r>
        <w:t xml:space="preserve"> </w:t>
      </w:r>
      <w:r w:rsidRPr="00BB567F">
        <w:rPr>
          <w:i/>
        </w:rPr>
        <w:t>Ex parte</w:t>
      </w:r>
      <w:r w:rsidRPr="00BB567F">
        <w:t xml:space="preserve"> Quirin, 317 U.S. 1</w:t>
      </w:r>
      <w:r>
        <w:t>, 7-8 (1942).</w:t>
      </w:r>
    </w:p>
  </w:footnote>
  <w:footnote w:id="244">
    <w:p w14:paraId="494EE10E" w14:textId="3E5A6F4A" w:rsidR="009E62A3" w:rsidRDefault="009E62A3" w:rsidP="00BD679A">
      <w:pPr>
        <w:pStyle w:val="FootnoteText"/>
        <w:ind w:left="360" w:right="360"/>
        <w:jc w:val="both"/>
      </w:pPr>
      <w:r>
        <w:rPr>
          <w:rStyle w:val="FootnoteReference"/>
        </w:rPr>
        <w:footnoteRef/>
      </w:r>
      <w:r>
        <w:t xml:space="preserve"> </w:t>
      </w:r>
      <w:r w:rsidRPr="00BB567F">
        <w:rPr>
          <w:i/>
        </w:rPr>
        <w:t>Id</w:t>
      </w:r>
      <w:r>
        <w:t>. at 8.</w:t>
      </w:r>
    </w:p>
  </w:footnote>
  <w:footnote w:id="245">
    <w:p w14:paraId="1B1CA183" w14:textId="1D3A5151" w:rsidR="009E62A3" w:rsidRDefault="009E62A3" w:rsidP="00BD679A">
      <w:pPr>
        <w:pStyle w:val="FootnoteText"/>
        <w:ind w:left="360" w:right="360"/>
        <w:jc w:val="both"/>
      </w:pPr>
      <w:r>
        <w:rPr>
          <w:rStyle w:val="FootnoteReference"/>
        </w:rPr>
        <w:footnoteRef/>
      </w:r>
      <w:r>
        <w:t xml:space="preserve"> </w:t>
      </w:r>
      <w:r w:rsidRPr="00BB567F">
        <w:rPr>
          <w:i/>
        </w:rPr>
        <w:t>Id</w:t>
      </w:r>
      <w:r>
        <w:t>. at 30-31.</w:t>
      </w:r>
    </w:p>
  </w:footnote>
  <w:footnote w:id="246">
    <w:p w14:paraId="40B192E1" w14:textId="7379D0AF" w:rsidR="009E62A3" w:rsidRDefault="009E62A3" w:rsidP="00BD679A">
      <w:pPr>
        <w:pStyle w:val="FootnoteText"/>
        <w:ind w:left="360" w:right="360"/>
        <w:jc w:val="both"/>
      </w:pPr>
      <w:r>
        <w:rPr>
          <w:rStyle w:val="FootnoteReference"/>
        </w:rPr>
        <w:footnoteRef/>
      </w:r>
      <w:r>
        <w:t xml:space="preserve"> </w:t>
      </w:r>
      <w:r w:rsidRPr="00BB567F">
        <w:rPr>
          <w:i/>
        </w:rPr>
        <w:t>Id</w:t>
      </w:r>
      <w:r>
        <w:t>. at 31.</w:t>
      </w:r>
    </w:p>
  </w:footnote>
  <w:footnote w:id="247">
    <w:p w14:paraId="0EA3C723" w14:textId="59E47D3F" w:rsidR="009E62A3" w:rsidRDefault="009E62A3" w:rsidP="00BD679A">
      <w:pPr>
        <w:pStyle w:val="FootnoteText"/>
        <w:ind w:left="360" w:right="360"/>
        <w:jc w:val="both"/>
      </w:pPr>
      <w:r>
        <w:rPr>
          <w:rStyle w:val="FootnoteReference"/>
        </w:rPr>
        <w:footnoteRef/>
      </w:r>
      <w:r>
        <w:t xml:space="preserve"> </w:t>
      </w:r>
      <w:r w:rsidRPr="007D4F0D">
        <w:rPr>
          <w:i/>
        </w:rPr>
        <w:t>Id</w:t>
      </w:r>
      <w:r>
        <w:t>. at 45.</w:t>
      </w:r>
    </w:p>
  </w:footnote>
  <w:footnote w:id="248">
    <w:p w14:paraId="67292AA0" w14:textId="2A7AEB91" w:rsidR="009E62A3" w:rsidRDefault="009E62A3" w:rsidP="00283AE6">
      <w:pPr>
        <w:pStyle w:val="FootnoteText"/>
        <w:ind w:left="360" w:right="360"/>
        <w:jc w:val="both"/>
      </w:pPr>
      <w:r>
        <w:rPr>
          <w:rStyle w:val="FootnoteReference"/>
        </w:rPr>
        <w:footnoteRef/>
      </w:r>
      <w:r>
        <w:t xml:space="preserve"> </w:t>
      </w:r>
      <w:r w:rsidRPr="00B30D71">
        <w:t xml:space="preserve">Curtis A. </w:t>
      </w:r>
      <w:r>
        <w:t xml:space="preserve">Bradley, </w:t>
      </w:r>
      <w:r w:rsidRPr="00B30D71">
        <w:rPr>
          <w:i/>
        </w:rPr>
        <w:t xml:space="preserve">The Story of </w:t>
      </w:r>
      <w:r w:rsidRPr="00B30D71">
        <w:t>Ex Parte Milligan</w:t>
      </w:r>
      <w:r w:rsidRPr="00B30D71">
        <w:rPr>
          <w:i/>
        </w:rPr>
        <w:t>: Military Trials, Enemy Combatants, and Congressional Authorization</w:t>
      </w:r>
      <w:r>
        <w:rPr>
          <w:i/>
        </w:rPr>
        <w:t xml:space="preserve"> </w:t>
      </w:r>
      <w:r>
        <w:t>33</w:t>
      </w:r>
      <w:r w:rsidRPr="00C8116C">
        <w:t xml:space="preserve"> (</w:t>
      </w:r>
      <w:r>
        <w:t>Duke Univ. Sch. Law, 2007</w:t>
      </w:r>
      <w:r w:rsidRPr="00C8116C">
        <w:t>), http://papers.ssrn.com/sol3/papers.cfm?abstract_id=1015618.</w:t>
      </w:r>
    </w:p>
  </w:footnote>
  <w:footnote w:id="249">
    <w:p w14:paraId="4433E06F" w14:textId="77777777" w:rsidR="009E62A3" w:rsidRDefault="009E62A3" w:rsidP="00283AE6">
      <w:pPr>
        <w:pStyle w:val="FootnoteText"/>
        <w:ind w:left="360" w:right="360"/>
        <w:jc w:val="both"/>
      </w:pPr>
      <w:r>
        <w:rPr>
          <w:rStyle w:val="FootnoteReference"/>
        </w:rPr>
        <w:footnoteRef/>
      </w:r>
      <w:r>
        <w:t xml:space="preserve"> Robert M. Chesney &amp; Benjamin Wittes, </w:t>
      </w:r>
      <w:r w:rsidRPr="00F8333F">
        <w:rPr>
          <w:i/>
        </w:rPr>
        <w:t>Protecting U.S. Citizens’ Constitutional Rights During the War on Terror</w:t>
      </w:r>
      <w:r>
        <w:t xml:space="preserve">, </w:t>
      </w:r>
      <w:r w:rsidRPr="00F8333F">
        <w:rPr>
          <w:smallCaps/>
          <w:szCs w:val="20"/>
        </w:rPr>
        <w:t>Brookings Inst.</w:t>
      </w:r>
      <w:r>
        <w:t xml:space="preserve"> (May 22, 2013), </w:t>
      </w:r>
      <w:r w:rsidRPr="00F8333F">
        <w:t>http://www.brookings.edu/research/testimony/2013/05/22-war-on-terror-chesney-wittes</w:t>
      </w:r>
      <w:r>
        <w:t>.</w:t>
      </w:r>
    </w:p>
  </w:footnote>
  <w:footnote w:id="250">
    <w:p w14:paraId="0F22D22E" w14:textId="68FF0660" w:rsidR="009E62A3" w:rsidRPr="00D77EDC" w:rsidRDefault="009E62A3" w:rsidP="00283AE6">
      <w:pPr>
        <w:pStyle w:val="FootnoteText"/>
        <w:ind w:left="360" w:right="360"/>
        <w:jc w:val="both"/>
        <w:rPr>
          <w:szCs w:val="20"/>
        </w:rPr>
      </w:pPr>
      <w:r>
        <w:rPr>
          <w:rStyle w:val="FootnoteReference"/>
        </w:rPr>
        <w:footnoteRef/>
      </w:r>
      <w:r>
        <w:t xml:space="preserve"> David, </w:t>
      </w:r>
      <w:r w:rsidRPr="00BB4910">
        <w:rPr>
          <w:i/>
          <w:iCs/>
          <w:szCs w:val="20"/>
        </w:rPr>
        <w:t>supra</w:t>
      </w:r>
      <w:r w:rsidRPr="00BB4910">
        <w:rPr>
          <w:szCs w:val="20"/>
        </w:rPr>
        <w:t> </w:t>
      </w:r>
      <w:r>
        <w:rPr>
          <w:szCs w:val="20"/>
        </w:rPr>
        <w:t>note 213,</w:t>
      </w:r>
      <w:r w:rsidRPr="00BB4910">
        <w:rPr>
          <w:szCs w:val="20"/>
        </w:rPr>
        <w:t xml:space="preserve"> at</w:t>
      </w:r>
      <w:r>
        <w:rPr>
          <w:szCs w:val="20"/>
        </w:rPr>
        <w:t xml:space="preserve"> 393. Recently, however, I</w:t>
      </w:r>
      <w:r w:rsidRPr="00E13B9D">
        <w:rPr>
          <w:szCs w:val="20"/>
        </w:rPr>
        <w:t>rek Hamidullin, an ex-Soviet army officer</w:t>
      </w:r>
      <w:r>
        <w:rPr>
          <w:szCs w:val="20"/>
        </w:rPr>
        <w:t xml:space="preserve">, was found guilty of terrorism charges by a jury in the U.S. District Court for the Eastern District of Virginia. </w:t>
      </w:r>
      <w:r w:rsidRPr="00E13B9D">
        <w:rPr>
          <w:bCs/>
          <w:szCs w:val="20"/>
        </w:rPr>
        <w:t>United States v. Hamidullin, No. 3:14CR140-HEH, 2015 BL 254643 (E.D. Va. Aug. 07, 2015)</w:t>
      </w:r>
      <w:r>
        <w:rPr>
          <w:szCs w:val="20"/>
        </w:rPr>
        <w:t xml:space="preserve">; Alexandra Sims, </w:t>
      </w:r>
      <w:r w:rsidRPr="00335F13">
        <w:rPr>
          <w:i/>
          <w:szCs w:val="20"/>
        </w:rPr>
        <w:t>‘Soviet Taliban’ Irek Hamidullin Found Guilty in US over Afghan Terrorist Attack</w:t>
      </w:r>
      <w:r>
        <w:rPr>
          <w:szCs w:val="20"/>
        </w:rPr>
        <w:t xml:space="preserve">, </w:t>
      </w:r>
      <w:r w:rsidRPr="00335F13">
        <w:rPr>
          <w:smallCaps/>
          <w:szCs w:val="20"/>
        </w:rPr>
        <w:t>Independent</w:t>
      </w:r>
      <w:r>
        <w:rPr>
          <w:szCs w:val="20"/>
        </w:rPr>
        <w:t xml:space="preserve"> (Aug. 8, 2015), </w:t>
      </w:r>
      <w:r w:rsidRPr="00335F13">
        <w:rPr>
          <w:szCs w:val="20"/>
        </w:rPr>
        <w:t>http://www.independent.co.uk/news/world/americas/soviet-taliban-irek-hamidullin-found-guilty-in-us-over-afghan-terrorist-attack-10446492.html</w:t>
      </w:r>
      <w:r>
        <w:rPr>
          <w:szCs w:val="20"/>
        </w:rPr>
        <w:t xml:space="preserve">. </w:t>
      </w:r>
      <w:r w:rsidRPr="00E13B9D">
        <w:rPr>
          <w:szCs w:val="20"/>
        </w:rPr>
        <w:t>Hamidullin</w:t>
      </w:r>
      <w:r w:rsidRPr="00D77EDC">
        <w:rPr>
          <w:szCs w:val="20"/>
        </w:rPr>
        <w:t xml:space="preserve"> </w:t>
      </w:r>
      <w:r>
        <w:rPr>
          <w:szCs w:val="20"/>
        </w:rPr>
        <w:t xml:space="preserve">is </w:t>
      </w:r>
      <w:r w:rsidRPr="00D77EDC">
        <w:rPr>
          <w:szCs w:val="20"/>
        </w:rPr>
        <w:t xml:space="preserve">the first </w:t>
      </w:r>
      <w:r>
        <w:rPr>
          <w:szCs w:val="20"/>
        </w:rPr>
        <w:t>non-citizen enemy combatant</w:t>
      </w:r>
      <w:r w:rsidRPr="00D77EDC">
        <w:rPr>
          <w:szCs w:val="20"/>
        </w:rPr>
        <w:t xml:space="preserve"> transferred to the United States to face </w:t>
      </w:r>
      <w:r>
        <w:rPr>
          <w:szCs w:val="20"/>
        </w:rPr>
        <w:t xml:space="preserve">criminal prosecution and the case could have significant implications for the question of military detention. See Robert Chesney, </w:t>
      </w:r>
      <w:r w:rsidRPr="00335F13">
        <w:rPr>
          <w:i/>
          <w:szCs w:val="20"/>
        </w:rPr>
        <w:t>Detainee Transferred from Afghanistan to US for Trial: A Model for GTMO Closure?</w:t>
      </w:r>
      <w:r>
        <w:rPr>
          <w:szCs w:val="20"/>
        </w:rPr>
        <w:t xml:space="preserve">, </w:t>
      </w:r>
      <w:r w:rsidRPr="00335F13">
        <w:rPr>
          <w:smallCaps/>
          <w:szCs w:val="20"/>
        </w:rPr>
        <w:t>Lawfare</w:t>
      </w:r>
      <w:r>
        <w:rPr>
          <w:szCs w:val="20"/>
        </w:rPr>
        <w:t xml:space="preserve"> (Nov. 4, 2014), </w:t>
      </w:r>
      <w:r w:rsidRPr="00335F13">
        <w:rPr>
          <w:szCs w:val="20"/>
        </w:rPr>
        <w:t>https://www.lawfareblog.com/detainee-transferred-afghanistan-us-trial-model-gtmo-closure</w:t>
      </w:r>
      <w:r>
        <w:rPr>
          <w:szCs w:val="20"/>
        </w:rPr>
        <w:t>.</w:t>
      </w:r>
    </w:p>
  </w:footnote>
  <w:footnote w:id="251">
    <w:p w14:paraId="0FDB4D3A" w14:textId="77777777" w:rsidR="009E62A3" w:rsidRDefault="009E62A3" w:rsidP="008B1D73">
      <w:pPr>
        <w:pStyle w:val="FootnoteText"/>
        <w:ind w:left="360" w:right="360"/>
        <w:jc w:val="both"/>
      </w:pPr>
      <w:r>
        <w:rPr>
          <w:rStyle w:val="FootnoteReference"/>
        </w:rPr>
        <w:footnoteRef/>
      </w:r>
      <w:r>
        <w:t xml:space="preserve"> Exec. Order 13492, </w:t>
      </w:r>
      <w:r w:rsidRPr="00322683">
        <w:t xml:space="preserve">74 Fed. Reg. 4897 </w:t>
      </w:r>
      <w:r>
        <w:t xml:space="preserve">(Jan. 27,2009); Helen Cooper &amp; David Johnston, </w:t>
      </w:r>
      <w:r w:rsidRPr="00BC0CB6">
        <w:rPr>
          <w:i/>
        </w:rPr>
        <w:t>Obama Tells Prison to Take Detainees</w:t>
      </w:r>
      <w:r>
        <w:t xml:space="preserve">, </w:t>
      </w:r>
      <w:r w:rsidRPr="00BC0CB6">
        <w:rPr>
          <w:smallCaps/>
          <w:szCs w:val="20"/>
        </w:rPr>
        <w:t>N.Y. Times</w:t>
      </w:r>
      <w:r>
        <w:t xml:space="preserve">, Dec. 15, 2009, </w:t>
      </w:r>
      <w:r w:rsidRPr="00BC0CB6">
        <w:t>http://www.nytimes.com/2009/12/16/us/16gitmo.html?_r=0</w:t>
      </w:r>
      <w:r>
        <w:t>.</w:t>
      </w:r>
    </w:p>
  </w:footnote>
  <w:footnote w:id="252">
    <w:p w14:paraId="6B2E7286" w14:textId="77777777" w:rsidR="009E62A3" w:rsidRDefault="009E62A3" w:rsidP="008B1D73">
      <w:pPr>
        <w:pStyle w:val="FootnoteText"/>
        <w:ind w:left="360" w:right="360"/>
        <w:jc w:val="both"/>
      </w:pPr>
      <w:r>
        <w:rPr>
          <w:rStyle w:val="FootnoteReference"/>
        </w:rPr>
        <w:footnoteRef/>
      </w:r>
      <w:r>
        <w:t xml:space="preserve"> </w:t>
      </w:r>
      <w:r w:rsidRPr="00BC0CB6">
        <w:rPr>
          <w:i/>
        </w:rPr>
        <w:t>Id</w:t>
      </w:r>
      <w:r>
        <w:t xml:space="preserve">. (quoting Sen. Mitch McConnell). For further debate and commentary, see </w:t>
      </w:r>
      <w:r w:rsidRPr="007963EB">
        <w:t>Colloquy</w:t>
      </w:r>
      <w:r>
        <w:t xml:space="preserve">, </w:t>
      </w:r>
      <w:r w:rsidRPr="007963EB">
        <w:rPr>
          <w:i/>
        </w:rPr>
        <w:t>Moving Gitmo to America</w:t>
      </w:r>
      <w:r>
        <w:t xml:space="preserve">, </w:t>
      </w:r>
      <w:r w:rsidRPr="007963EB">
        <w:rPr>
          <w:smallCaps/>
          <w:szCs w:val="20"/>
        </w:rPr>
        <w:t>N.Y. Times</w:t>
      </w:r>
      <w:r>
        <w:t xml:space="preserve"> (Dec. 15, 2009), </w:t>
      </w:r>
      <w:r w:rsidRPr="007963EB">
        <w:t>http://roomfordebate.blogs.nytimes.com/200</w:t>
      </w:r>
      <w:r>
        <w:t>9/12/15/moving-gitmo-to-america.</w:t>
      </w:r>
    </w:p>
  </w:footnote>
  <w:footnote w:id="253">
    <w:p w14:paraId="6FEC7151" w14:textId="77777777" w:rsidR="009E62A3" w:rsidRDefault="009E62A3" w:rsidP="008B1D73">
      <w:pPr>
        <w:pStyle w:val="FootnoteText"/>
        <w:ind w:left="360" w:right="360"/>
        <w:jc w:val="both"/>
      </w:pPr>
      <w:r>
        <w:rPr>
          <w:rStyle w:val="FootnoteReference"/>
        </w:rPr>
        <w:footnoteRef/>
      </w:r>
      <w:r>
        <w:t xml:space="preserve"> </w:t>
      </w:r>
      <w:r w:rsidRPr="00233371">
        <w:t xml:space="preserve">National </w:t>
      </w:r>
      <w:r>
        <w:t>Defense Authorization Act for Fiscal Year 2012, Pub. L. No. 112-81, §§ 1026(a), 1027, 125 Stat. 1298, 1566-1567 (2011)</w:t>
      </w:r>
      <w:r w:rsidRPr="00233371">
        <w:t>.</w:t>
      </w:r>
    </w:p>
  </w:footnote>
  <w:footnote w:id="254">
    <w:p w14:paraId="5CC42D54" w14:textId="77777777" w:rsidR="009E62A3" w:rsidRDefault="009E62A3" w:rsidP="008B1D73">
      <w:pPr>
        <w:pStyle w:val="FootnoteText"/>
        <w:ind w:left="360" w:right="360"/>
        <w:jc w:val="both"/>
      </w:pPr>
      <w:r>
        <w:rPr>
          <w:rStyle w:val="FootnoteReference"/>
        </w:rPr>
        <w:footnoteRef/>
      </w:r>
      <w:r>
        <w:t xml:space="preserve"> </w:t>
      </w:r>
      <w:r w:rsidRPr="00233371">
        <w:t xml:space="preserve">National </w:t>
      </w:r>
      <w:r>
        <w:t xml:space="preserve">Defense Authorization Act for Fiscal Year 2015, </w:t>
      </w:r>
      <w:r w:rsidRPr="00233371">
        <w:t>10 U.S.</w:t>
      </w:r>
      <w:r>
        <w:t xml:space="preserve">C.A. </w:t>
      </w:r>
      <w:r w:rsidRPr="00233371">
        <w:t>§ 127b</w:t>
      </w:r>
      <w:r>
        <w:t xml:space="preserve">(c)(3)(C) (2015); </w:t>
      </w:r>
      <w:r w:rsidRPr="00B852E8">
        <w:rPr>
          <w:smallCaps/>
          <w:szCs w:val="20"/>
        </w:rPr>
        <w:t>Jennifer K. Elsea &amp; Michael John Garcia, Cong. Research Serv. R42143, Wartime Detention Provisions in Recent Defense Authorization Legislation</w:t>
      </w:r>
      <w:r w:rsidRPr="00B852E8">
        <w:t xml:space="preserve"> 28 (2015), </w:t>
      </w:r>
      <w:r w:rsidRPr="00B852E8">
        <w:rPr>
          <w:i/>
        </w:rPr>
        <w:t>available at</w:t>
      </w:r>
      <w:r w:rsidRPr="00B852E8">
        <w:t xml:space="preserve"> https://www.fas.org/sgp/crs/natsec/R421</w:t>
      </w:r>
      <w:r>
        <w:t>43.pdf.</w:t>
      </w:r>
    </w:p>
  </w:footnote>
  <w:footnote w:id="255">
    <w:p w14:paraId="6D0BE7EC" w14:textId="13178269" w:rsidR="009E62A3" w:rsidRDefault="009E62A3" w:rsidP="008B1D73">
      <w:pPr>
        <w:pStyle w:val="FootnoteText"/>
        <w:ind w:left="360" w:right="360"/>
        <w:jc w:val="both"/>
      </w:pPr>
      <w:r>
        <w:rPr>
          <w:rStyle w:val="FootnoteReference"/>
        </w:rPr>
        <w:footnoteRef/>
      </w:r>
      <w:r>
        <w:t xml:space="preserve"> Adam Goldman &amp; Missy Ryan, </w:t>
      </w:r>
      <w:r w:rsidRPr="00B75C0C">
        <w:rPr>
          <w:i/>
        </w:rPr>
        <w:t>Issue of Where to Move Guantanamo Detainees Threatens Closure Plan</w:t>
      </w:r>
      <w:r>
        <w:t xml:space="preserve">, </w:t>
      </w:r>
      <w:r w:rsidRPr="00B75C0C">
        <w:rPr>
          <w:smallCaps/>
          <w:szCs w:val="20"/>
        </w:rPr>
        <w:t>Wash. Post</w:t>
      </w:r>
      <w:r>
        <w:t xml:space="preserve"> (Aug. 10, 2015), </w:t>
      </w:r>
      <w:r w:rsidRPr="00B75C0C">
        <w:t>https://www.washingtonpost.com/world/national-security/guantanamo-closure-plan-suffers-setback-over-us-site-for-detainees/2015/08/10/1540c2e0-3f68-11e5-9561-4b3dc93e3b9a_story.html</w:t>
      </w:r>
      <w:r>
        <w:t xml:space="preserve">. </w:t>
      </w:r>
      <w:r w:rsidRPr="009325D2">
        <w:rPr>
          <w:i/>
        </w:rPr>
        <w:t>See also</w:t>
      </w:r>
      <w:r>
        <w:t xml:space="preserve"> J. Malcolm Garcia, </w:t>
      </w:r>
      <w:r w:rsidRPr="00E472AE">
        <w:rPr>
          <w:i/>
        </w:rPr>
        <w:t>German POWs on the American Homefront</w:t>
      </w:r>
      <w:r>
        <w:t xml:space="preserve">, </w:t>
      </w:r>
      <w:r w:rsidRPr="00E472AE">
        <w:rPr>
          <w:smallCaps/>
          <w:szCs w:val="20"/>
        </w:rPr>
        <w:t>Smithsonian</w:t>
      </w:r>
      <w:r>
        <w:t xml:space="preserve"> (Sept. 15, 2009) (</w:t>
      </w:r>
      <w:r w:rsidRPr="009325D2">
        <w:t>reflecting on the “‘irony and parallel’ of World War II POWs and Guantanamo inmates,” in observing that, in effect, Congress is saying that “no community in America would want ter</w:t>
      </w:r>
      <w:r>
        <w:t xml:space="preserve">rorism suspects in its backyard”), </w:t>
      </w:r>
      <w:r w:rsidRPr="00E472AE">
        <w:t>http://www.smithsonianmag.com/history/german-pows-on-the-american-homefront-141009996/?no-ist</w:t>
      </w:r>
      <w:r>
        <w:t>.</w:t>
      </w:r>
    </w:p>
  </w:footnote>
  <w:footnote w:id="256">
    <w:p w14:paraId="08D64958" w14:textId="7035F212" w:rsidR="009E62A3" w:rsidRDefault="009E62A3" w:rsidP="00B113CF">
      <w:pPr>
        <w:pStyle w:val="FootnoteText"/>
        <w:ind w:left="360" w:right="360"/>
        <w:jc w:val="both"/>
      </w:pPr>
      <w:r>
        <w:rPr>
          <w:rStyle w:val="FootnoteReference"/>
        </w:rPr>
        <w:footnoteRef/>
      </w:r>
      <w:r>
        <w:t xml:space="preserve"> Janine Davidson, </w:t>
      </w:r>
      <w:r w:rsidRPr="00C3695E">
        <w:rPr>
          <w:i/>
        </w:rPr>
        <w:t>Greatest Hits: Untangling the Circular Logic of America’s Torture Apologists</w:t>
      </w:r>
      <w:r>
        <w:t xml:space="preserve">, </w:t>
      </w:r>
      <w:r w:rsidRPr="00C3695E">
        <w:rPr>
          <w:smallCaps/>
          <w:szCs w:val="20"/>
        </w:rPr>
        <w:t>Defense in Depth</w:t>
      </w:r>
      <w:r>
        <w:t xml:space="preserve"> (July 24, 2015), </w:t>
      </w:r>
      <w:r w:rsidRPr="00C3695E">
        <w:t>http://blogs.cfr.org/davidson/2015/07/24/greatest-hits-untangling-the-circular-logic</w:t>
      </w:r>
      <w:r>
        <w:t xml:space="preserve">-of-americas-torture-apologists; </w:t>
      </w:r>
      <w:r>
        <w:rPr>
          <w:szCs w:val="20"/>
        </w:rPr>
        <w:t xml:space="preserve">Mofidi &amp; </w:t>
      </w:r>
      <w:r w:rsidRPr="005340C0">
        <w:rPr>
          <w:szCs w:val="20"/>
        </w:rPr>
        <w:t>Eckert,</w:t>
      </w:r>
      <w:r>
        <w:rPr>
          <w:szCs w:val="20"/>
        </w:rPr>
        <w:t xml:space="preserve"> </w:t>
      </w:r>
      <w:r w:rsidRPr="00BB4910">
        <w:rPr>
          <w:i/>
          <w:iCs/>
          <w:szCs w:val="20"/>
        </w:rPr>
        <w:t>supra</w:t>
      </w:r>
      <w:r w:rsidRPr="00BB4910">
        <w:rPr>
          <w:szCs w:val="20"/>
        </w:rPr>
        <w:t> </w:t>
      </w:r>
      <w:r>
        <w:rPr>
          <w:szCs w:val="20"/>
        </w:rPr>
        <w:t>note 218, at 90</w:t>
      </w:r>
      <w:r w:rsidRPr="005340C0">
        <w:rPr>
          <w:szCs w:val="20"/>
        </w:rPr>
        <w:t>.</w:t>
      </w:r>
    </w:p>
  </w:footnote>
  <w:footnote w:id="257">
    <w:p w14:paraId="4B910A6A" w14:textId="77777777" w:rsidR="009E62A3" w:rsidRDefault="009E62A3" w:rsidP="002F5A34">
      <w:pPr>
        <w:pStyle w:val="FootnoteText"/>
        <w:ind w:left="360" w:right="270"/>
      </w:pPr>
      <w:r>
        <w:rPr>
          <w:rStyle w:val="FootnoteReference"/>
        </w:rPr>
        <w:footnoteRef/>
      </w:r>
      <w:r>
        <w:t xml:space="preserve"> Tarun Baid, </w:t>
      </w:r>
      <w:r w:rsidRPr="00A21E16">
        <w:rPr>
          <w:i/>
        </w:rPr>
        <w:t>Coping with the Challenges of Terrorism and International Law</w:t>
      </w:r>
      <w:r>
        <w:t xml:space="preserve">, </w:t>
      </w:r>
      <w:r w:rsidRPr="00A21E16">
        <w:rPr>
          <w:smallCaps/>
          <w:szCs w:val="20"/>
        </w:rPr>
        <w:t>Int’l Pol’y Digest</w:t>
      </w:r>
      <w:r>
        <w:t xml:space="preserve"> (Dec. 19, 2012), </w:t>
      </w:r>
      <w:r w:rsidRPr="00A21E16">
        <w:t>http://www.internationalpolicydigest.org/2012/12/19/coping-with-the-challenges-of-</w:t>
      </w:r>
      <w:r>
        <w:t>terrorism-and-international-law.</w:t>
      </w:r>
    </w:p>
  </w:footnote>
  <w:footnote w:id="258">
    <w:p w14:paraId="261EF23D" w14:textId="1800FC75" w:rsidR="009E62A3" w:rsidRDefault="009E62A3" w:rsidP="00E549E6">
      <w:pPr>
        <w:pStyle w:val="FootnoteText"/>
        <w:ind w:left="360"/>
      </w:pPr>
      <w:r>
        <w:rPr>
          <w:rStyle w:val="FootnoteReference"/>
        </w:rPr>
        <w:footnoteRef/>
      </w:r>
      <w:r>
        <w:t xml:space="preserve"> </w:t>
      </w:r>
      <w:r>
        <w:rPr>
          <w:szCs w:val="20"/>
        </w:rPr>
        <w:t xml:space="preserve">David, </w:t>
      </w:r>
      <w:r w:rsidRPr="00641C74">
        <w:rPr>
          <w:i/>
          <w:szCs w:val="20"/>
        </w:rPr>
        <w:t xml:space="preserve">supra </w:t>
      </w:r>
      <w:r>
        <w:rPr>
          <w:szCs w:val="20"/>
        </w:rPr>
        <w:t>note 213, at 394,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618"/>
    <w:multiLevelType w:val="hybridMultilevel"/>
    <w:tmpl w:val="94C61874"/>
    <w:lvl w:ilvl="0" w:tplc="E9DAD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8665E4"/>
    <w:multiLevelType w:val="multilevel"/>
    <w:tmpl w:val="334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1105F"/>
    <w:multiLevelType w:val="hybridMultilevel"/>
    <w:tmpl w:val="94C61874"/>
    <w:lvl w:ilvl="0" w:tplc="E9DAD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FD"/>
    <w:rsid w:val="000008C4"/>
    <w:rsid w:val="00000DBA"/>
    <w:rsid w:val="00002BB8"/>
    <w:rsid w:val="00002E0E"/>
    <w:rsid w:val="0000476B"/>
    <w:rsid w:val="0000730A"/>
    <w:rsid w:val="00010D71"/>
    <w:rsid w:val="00011937"/>
    <w:rsid w:val="00012E71"/>
    <w:rsid w:val="0001533A"/>
    <w:rsid w:val="0001576C"/>
    <w:rsid w:val="0001750B"/>
    <w:rsid w:val="00020451"/>
    <w:rsid w:val="00022223"/>
    <w:rsid w:val="000267F9"/>
    <w:rsid w:val="00026E4F"/>
    <w:rsid w:val="00031086"/>
    <w:rsid w:val="00031773"/>
    <w:rsid w:val="0003362D"/>
    <w:rsid w:val="000344A7"/>
    <w:rsid w:val="0003713E"/>
    <w:rsid w:val="000406DE"/>
    <w:rsid w:val="00041DF1"/>
    <w:rsid w:val="000470DE"/>
    <w:rsid w:val="000473A3"/>
    <w:rsid w:val="00050726"/>
    <w:rsid w:val="00053E58"/>
    <w:rsid w:val="0005434F"/>
    <w:rsid w:val="00054B41"/>
    <w:rsid w:val="00055748"/>
    <w:rsid w:val="00056A66"/>
    <w:rsid w:val="00057554"/>
    <w:rsid w:val="00061B14"/>
    <w:rsid w:val="00062CCF"/>
    <w:rsid w:val="00062DB9"/>
    <w:rsid w:val="00067771"/>
    <w:rsid w:val="00070212"/>
    <w:rsid w:val="0007065D"/>
    <w:rsid w:val="00073D00"/>
    <w:rsid w:val="00074026"/>
    <w:rsid w:val="000758F8"/>
    <w:rsid w:val="0008107F"/>
    <w:rsid w:val="00081F0D"/>
    <w:rsid w:val="00081FBB"/>
    <w:rsid w:val="0008316E"/>
    <w:rsid w:val="0008391C"/>
    <w:rsid w:val="00084DA4"/>
    <w:rsid w:val="00085C41"/>
    <w:rsid w:val="000864B4"/>
    <w:rsid w:val="00086571"/>
    <w:rsid w:val="00087594"/>
    <w:rsid w:val="00090C92"/>
    <w:rsid w:val="000928CC"/>
    <w:rsid w:val="000952C3"/>
    <w:rsid w:val="0009548C"/>
    <w:rsid w:val="00097453"/>
    <w:rsid w:val="000A257A"/>
    <w:rsid w:val="000A4BE8"/>
    <w:rsid w:val="000A5E73"/>
    <w:rsid w:val="000A6CE2"/>
    <w:rsid w:val="000B06B6"/>
    <w:rsid w:val="000B2237"/>
    <w:rsid w:val="000B4A1B"/>
    <w:rsid w:val="000B4D0B"/>
    <w:rsid w:val="000B4D1D"/>
    <w:rsid w:val="000B5553"/>
    <w:rsid w:val="000B61A4"/>
    <w:rsid w:val="000C0835"/>
    <w:rsid w:val="000C0E59"/>
    <w:rsid w:val="000C0EDE"/>
    <w:rsid w:val="000C1621"/>
    <w:rsid w:val="000C3E72"/>
    <w:rsid w:val="000C639C"/>
    <w:rsid w:val="000C6B5B"/>
    <w:rsid w:val="000C72B0"/>
    <w:rsid w:val="000D6B15"/>
    <w:rsid w:val="000E10CE"/>
    <w:rsid w:val="000E1E22"/>
    <w:rsid w:val="000E2BC2"/>
    <w:rsid w:val="000E4585"/>
    <w:rsid w:val="000E5C25"/>
    <w:rsid w:val="000E6A85"/>
    <w:rsid w:val="000E7100"/>
    <w:rsid w:val="000F1C36"/>
    <w:rsid w:val="000F399D"/>
    <w:rsid w:val="000F6316"/>
    <w:rsid w:val="00101E4F"/>
    <w:rsid w:val="00111CFB"/>
    <w:rsid w:val="001145F5"/>
    <w:rsid w:val="001158C8"/>
    <w:rsid w:val="00117BFB"/>
    <w:rsid w:val="00120139"/>
    <w:rsid w:val="00120DBE"/>
    <w:rsid w:val="00123498"/>
    <w:rsid w:val="001236A0"/>
    <w:rsid w:val="001245C9"/>
    <w:rsid w:val="0012519B"/>
    <w:rsid w:val="00132AF4"/>
    <w:rsid w:val="00137AA0"/>
    <w:rsid w:val="001417EA"/>
    <w:rsid w:val="00145AFA"/>
    <w:rsid w:val="00145F4B"/>
    <w:rsid w:val="00146BDF"/>
    <w:rsid w:val="00146EE3"/>
    <w:rsid w:val="00151FDF"/>
    <w:rsid w:val="00152041"/>
    <w:rsid w:val="00154164"/>
    <w:rsid w:val="001636E7"/>
    <w:rsid w:val="0016413A"/>
    <w:rsid w:val="00165A62"/>
    <w:rsid w:val="00171033"/>
    <w:rsid w:val="0017129D"/>
    <w:rsid w:val="0017206A"/>
    <w:rsid w:val="0017346B"/>
    <w:rsid w:val="001755EF"/>
    <w:rsid w:val="00176A0B"/>
    <w:rsid w:val="00176E4D"/>
    <w:rsid w:val="00180A38"/>
    <w:rsid w:val="00180A64"/>
    <w:rsid w:val="00181240"/>
    <w:rsid w:val="00183722"/>
    <w:rsid w:val="00185CF4"/>
    <w:rsid w:val="0018645E"/>
    <w:rsid w:val="001904C4"/>
    <w:rsid w:val="00193579"/>
    <w:rsid w:val="00193819"/>
    <w:rsid w:val="0019387E"/>
    <w:rsid w:val="00193EB8"/>
    <w:rsid w:val="00197625"/>
    <w:rsid w:val="001A03E2"/>
    <w:rsid w:val="001A7752"/>
    <w:rsid w:val="001B0677"/>
    <w:rsid w:val="001B28D3"/>
    <w:rsid w:val="001B3FAD"/>
    <w:rsid w:val="001B55F3"/>
    <w:rsid w:val="001C5365"/>
    <w:rsid w:val="001C7475"/>
    <w:rsid w:val="001D071A"/>
    <w:rsid w:val="001D5549"/>
    <w:rsid w:val="001D6A5B"/>
    <w:rsid w:val="001D7FAD"/>
    <w:rsid w:val="001E0ADB"/>
    <w:rsid w:val="001E0D1E"/>
    <w:rsid w:val="001E3667"/>
    <w:rsid w:val="001E7363"/>
    <w:rsid w:val="001F1437"/>
    <w:rsid w:val="001F2460"/>
    <w:rsid w:val="001F3AEE"/>
    <w:rsid w:val="001F4D76"/>
    <w:rsid w:val="001F510E"/>
    <w:rsid w:val="001F547C"/>
    <w:rsid w:val="001F6BDD"/>
    <w:rsid w:val="00201612"/>
    <w:rsid w:val="00203A40"/>
    <w:rsid w:val="00207ED1"/>
    <w:rsid w:val="0021199B"/>
    <w:rsid w:val="00212153"/>
    <w:rsid w:val="0021490C"/>
    <w:rsid w:val="00215C6B"/>
    <w:rsid w:val="002174FB"/>
    <w:rsid w:val="0021799D"/>
    <w:rsid w:val="002208A0"/>
    <w:rsid w:val="002227E6"/>
    <w:rsid w:val="0022525E"/>
    <w:rsid w:val="00226164"/>
    <w:rsid w:val="0022768B"/>
    <w:rsid w:val="00227D4C"/>
    <w:rsid w:val="002312ED"/>
    <w:rsid w:val="00232F2A"/>
    <w:rsid w:val="00233C8A"/>
    <w:rsid w:val="00234736"/>
    <w:rsid w:val="00234A22"/>
    <w:rsid w:val="00244092"/>
    <w:rsid w:val="00245195"/>
    <w:rsid w:val="002470B2"/>
    <w:rsid w:val="00247407"/>
    <w:rsid w:val="00252442"/>
    <w:rsid w:val="00253969"/>
    <w:rsid w:val="002543AB"/>
    <w:rsid w:val="00256399"/>
    <w:rsid w:val="002563A8"/>
    <w:rsid w:val="002619EF"/>
    <w:rsid w:val="00261A5B"/>
    <w:rsid w:val="002625A7"/>
    <w:rsid w:val="0026515A"/>
    <w:rsid w:val="002660EA"/>
    <w:rsid w:val="002737D5"/>
    <w:rsid w:val="00280704"/>
    <w:rsid w:val="00280FCC"/>
    <w:rsid w:val="0028229D"/>
    <w:rsid w:val="0028362E"/>
    <w:rsid w:val="00283854"/>
    <w:rsid w:val="00283AE6"/>
    <w:rsid w:val="0029137B"/>
    <w:rsid w:val="00291954"/>
    <w:rsid w:val="00294EAA"/>
    <w:rsid w:val="002952D4"/>
    <w:rsid w:val="002967A6"/>
    <w:rsid w:val="002A2684"/>
    <w:rsid w:val="002A477E"/>
    <w:rsid w:val="002B3481"/>
    <w:rsid w:val="002B350E"/>
    <w:rsid w:val="002B3981"/>
    <w:rsid w:val="002B52E9"/>
    <w:rsid w:val="002C0995"/>
    <w:rsid w:val="002C13AD"/>
    <w:rsid w:val="002C1A95"/>
    <w:rsid w:val="002C51C1"/>
    <w:rsid w:val="002D1EAE"/>
    <w:rsid w:val="002D5476"/>
    <w:rsid w:val="002E20A4"/>
    <w:rsid w:val="002E591C"/>
    <w:rsid w:val="002E71C5"/>
    <w:rsid w:val="002E7684"/>
    <w:rsid w:val="002F1A6D"/>
    <w:rsid w:val="002F346C"/>
    <w:rsid w:val="002F5912"/>
    <w:rsid w:val="002F5A34"/>
    <w:rsid w:val="00301411"/>
    <w:rsid w:val="00301CC0"/>
    <w:rsid w:val="00303868"/>
    <w:rsid w:val="00303FDF"/>
    <w:rsid w:val="00306F1C"/>
    <w:rsid w:val="003100FB"/>
    <w:rsid w:val="00310929"/>
    <w:rsid w:val="003122E0"/>
    <w:rsid w:val="003126EE"/>
    <w:rsid w:val="00313AF4"/>
    <w:rsid w:val="00313E58"/>
    <w:rsid w:val="0031454B"/>
    <w:rsid w:val="00316039"/>
    <w:rsid w:val="0031647F"/>
    <w:rsid w:val="0031797A"/>
    <w:rsid w:val="003259D1"/>
    <w:rsid w:val="003260A0"/>
    <w:rsid w:val="003335BC"/>
    <w:rsid w:val="00335F13"/>
    <w:rsid w:val="0034153D"/>
    <w:rsid w:val="00341B69"/>
    <w:rsid w:val="00342BF0"/>
    <w:rsid w:val="00342C5E"/>
    <w:rsid w:val="00342C6C"/>
    <w:rsid w:val="0034338B"/>
    <w:rsid w:val="0034400B"/>
    <w:rsid w:val="003445B1"/>
    <w:rsid w:val="003460B6"/>
    <w:rsid w:val="00354E38"/>
    <w:rsid w:val="003558D7"/>
    <w:rsid w:val="00363D73"/>
    <w:rsid w:val="00363E65"/>
    <w:rsid w:val="00364AC4"/>
    <w:rsid w:val="00370FB2"/>
    <w:rsid w:val="00372AF7"/>
    <w:rsid w:val="00373B27"/>
    <w:rsid w:val="003746F4"/>
    <w:rsid w:val="00375573"/>
    <w:rsid w:val="003842C9"/>
    <w:rsid w:val="00385D40"/>
    <w:rsid w:val="003912D3"/>
    <w:rsid w:val="00393017"/>
    <w:rsid w:val="003957C5"/>
    <w:rsid w:val="00395D79"/>
    <w:rsid w:val="00397C4A"/>
    <w:rsid w:val="003A0833"/>
    <w:rsid w:val="003A1B81"/>
    <w:rsid w:val="003A3274"/>
    <w:rsid w:val="003A4878"/>
    <w:rsid w:val="003A57F5"/>
    <w:rsid w:val="003B01F7"/>
    <w:rsid w:val="003B04D6"/>
    <w:rsid w:val="003B10EC"/>
    <w:rsid w:val="003B16A4"/>
    <w:rsid w:val="003B3216"/>
    <w:rsid w:val="003B5EF5"/>
    <w:rsid w:val="003B6438"/>
    <w:rsid w:val="003B7B10"/>
    <w:rsid w:val="003C0716"/>
    <w:rsid w:val="003C1F3B"/>
    <w:rsid w:val="003D6E47"/>
    <w:rsid w:val="003E0FBC"/>
    <w:rsid w:val="003E1651"/>
    <w:rsid w:val="003E288B"/>
    <w:rsid w:val="003E5A6D"/>
    <w:rsid w:val="003E6D1B"/>
    <w:rsid w:val="003E7421"/>
    <w:rsid w:val="003E752C"/>
    <w:rsid w:val="003E7716"/>
    <w:rsid w:val="003F0C44"/>
    <w:rsid w:val="003F114E"/>
    <w:rsid w:val="003F1A59"/>
    <w:rsid w:val="003F6912"/>
    <w:rsid w:val="003F69BC"/>
    <w:rsid w:val="00400D25"/>
    <w:rsid w:val="00401A9A"/>
    <w:rsid w:val="00401CE9"/>
    <w:rsid w:val="0040217D"/>
    <w:rsid w:val="00405425"/>
    <w:rsid w:val="00410206"/>
    <w:rsid w:val="004105BB"/>
    <w:rsid w:val="00411434"/>
    <w:rsid w:val="00411949"/>
    <w:rsid w:val="00412770"/>
    <w:rsid w:val="00412F5C"/>
    <w:rsid w:val="004170FC"/>
    <w:rsid w:val="00427FD7"/>
    <w:rsid w:val="00430791"/>
    <w:rsid w:val="00430809"/>
    <w:rsid w:val="00431400"/>
    <w:rsid w:val="00433AA9"/>
    <w:rsid w:val="00434C40"/>
    <w:rsid w:val="00436E20"/>
    <w:rsid w:val="00437B54"/>
    <w:rsid w:val="00443A36"/>
    <w:rsid w:val="004461D8"/>
    <w:rsid w:val="00446242"/>
    <w:rsid w:val="004464B4"/>
    <w:rsid w:val="004506F1"/>
    <w:rsid w:val="00453236"/>
    <w:rsid w:val="0045341B"/>
    <w:rsid w:val="00460F3A"/>
    <w:rsid w:val="00463A38"/>
    <w:rsid w:val="00464CA7"/>
    <w:rsid w:val="004664C4"/>
    <w:rsid w:val="004668B6"/>
    <w:rsid w:val="00466CA0"/>
    <w:rsid w:val="00470187"/>
    <w:rsid w:val="00470289"/>
    <w:rsid w:val="00471188"/>
    <w:rsid w:val="00471B44"/>
    <w:rsid w:val="004721CC"/>
    <w:rsid w:val="004736C5"/>
    <w:rsid w:val="00473E3A"/>
    <w:rsid w:val="004748CC"/>
    <w:rsid w:val="00475854"/>
    <w:rsid w:val="00476882"/>
    <w:rsid w:val="00477976"/>
    <w:rsid w:val="00477EAD"/>
    <w:rsid w:val="0048078E"/>
    <w:rsid w:val="00481778"/>
    <w:rsid w:val="00483BF4"/>
    <w:rsid w:val="004841B8"/>
    <w:rsid w:val="00485971"/>
    <w:rsid w:val="004913DB"/>
    <w:rsid w:val="004925E1"/>
    <w:rsid w:val="00493392"/>
    <w:rsid w:val="00493572"/>
    <w:rsid w:val="00494AD7"/>
    <w:rsid w:val="00497FC9"/>
    <w:rsid w:val="004A07DB"/>
    <w:rsid w:val="004A1FB3"/>
    <w:rsid w:val="004A2607"/>
    <w:rsid w:val="004A281E"/>
    <w:rsid w:val="004B1BA8"/>
    <w:rsid w:val="004B279C"/>
    <w:rsid w:val="004B4BB7"/>
    <w:rsid w:val="004B5B1F"/>
    <w:rsid w:val="004B5EAE"/>
    <w:rsid w:val="004B6950"/>
    <w:rsid w:val="004B72DA"/>
    <w:rsid w:val="004C2696"/>
    <w:rsid w:val="004C363B"/>
    <w:rsid w:val="004C72FC"/>
    <w:rsid w:val="004D0878"/>
    <w:rsid w:val="004D1601"/>
    <w:rsid w:val="004D16EE"/>
    <w:rsid w:val="004D1CF5"/>
    <w:rsid w:val="004D7C35"/>
    <w:rsid w:val="004E022D"/>
    <w:rsid w:val="004E2EE4"/>
    <w:rsid w:val="004E32ED"/>
    <w:rsid w:val="004E509C"/>
    <w:rsid w:val="004F36B5"/>
    <w:rsid w:val="004F527C"/>
    <w:rsid w:val="004F6948"/>
    <w:rsid w:val="0050037B"/>
    <w:rsid w:val="00500E1C"/>
    <w:rsid w:val="00504D4F"/>
    <w:rsid w:val="0050543E"/>
    <w:rsid w:val="005076CC"/>
    <w:rsid w:val="00510F98"/>
    <w:rsid w:val="00512B97"/>
    <w:rsid w:val="00515796"/>
    <w:rsid w:val="005219E0"/>
    <w:rsid w:val="0053157C"/>
    <w:rsid w:val="005340C0"/>
    <w:rsid w:val="00534D66"/>
    <w:rsid w:val="00536A6C"/>
    <w:rsid w:val="00537402"/>
    <w:rsid w:val="005404E6"/>
    <w:rsid w:val="00541CBA"/>
    <w:rsid w:val="00542BAC"/>
    <w:rsid w:val="00543394"/>
    <w:rsid w:val="005442D5"/>
    <w:rsid w:val="00544B5B"/>
    <w:rsid w:val="00553017"/>
    <w:rsid w:val="0055305D"/>
    <w:rsid w:val="00556D0A"/>
    <w:rsid w:val="00560CF9"/>
    <w:rsid w:val="005635FD"/>
    <w:rsid w:val="00563A0F"/>
    <w:rsid w:val="00564C5C"/>
    <w:rsid w:val="00570F1D"/>
    <w:rsid w:val="00571239"/>
    <w:rsid w:val="005731C3"/>
    <w:rsid w:val="005803CA"/>
    <w:rsid w:val="00580DF3"/>
    <w:rsid w:val="00583F44"/>
    <w:rsid w:val="00584776"/>
    <w:rsid w:val="00586B48"/>
    <w:rsid w:val="005872C7"/>
    <w:rsid w:val="00591C44"/>
    <w:rsid w:val="005924DE"/>
    <w:rsid w:val="005926D6"/>
    <w:rsid w:val="00592E36"/>
    <w:rsid w:val="00594575"/>
    <w:rsid w:val="00594759"/>
    <w:rsid w:val="005A1559"/>
    <w:rsid w:val="005A21CC"/>
    <w:rsid w:val="005A23AF"/>
    <w:rsid w:val="005A58B6"/>
    <w:rsid w:val="005B0F03"/>
    <w:rsid w:val="005B1DBD"/>
    <w:rsid w:val="005B3EAE"/>
    <w:rsid w:val="005B4E7C"/>
    <w:rsid w:val="005B5039"/>
    <w:rsid w:val="005B79C5"/>
    <w:rsid w:val="005C0143"/>
    <w:rsid w:val="005C075E"/>
    <w:rsid w:val="005C0BA7"/>
    <w:rsid w:val="005C16FA"/>
    <w:rsid w:val="005C6172"/>
    <w:rsid w:val="005D3CF0"/>
    <w:rsid w:val="005D6A0D"/>
    <w:rsid w:val="005D6C87"/>
    <w:rsid w:val="005D7416"/>
    <w:rsid w:val="005E12F1"/>
    <w:rsid w:val="005E4739"/>
    <w:rsid w:val="005E5051"/>
    <w:rsid w:val="005E6141"/>
    <w:rsid w:val="005E62E8"/>
    <w:rsid w:val="005E7B95"/>
    <w:rsid w:val="005F0D55"/>
    <w:rsid w:val="005F0E7D"/>
    <w:rsid w:val="005F50B1"/>
    <w:rsid w:val="005F5300"/>
    <w:rsid w:val="00601DFF"/>
    <w:rsid w:val="00602544"/>
    <w:rsid w:val="00603162"/>
    <w:rsid w:val="006036D2"/>
    <w:rsid w:val="00610687"/>
    <w:rsid w:val="0061323A"/>
    <w:rsid w:val="00614AAE"/>
    <w:rsid w:val="00614FE4"/>
    <w:rsid w:val="0061526A"/>
    <w:rsid w:val="006156BB"/>
    <w:rsid w:val="00620F22"/>
    <w:rsid w:val="00622283"/>
    <w:rsid w:val="00622E76"/>
    <w:rsid w:val="00622FC2"/>
    <w:rsid w:val="006259FB"/>
    <w:rsid w:val="00626934"/>
    <w:rsid w:val="00627F29"/>
    <w:rsid w:val="006322EF"/>
    <w:rsid w:val="006323B7"/>
    <w:rsid w:val="00632EC1"/>
    <w:rsid w:val="0063543E"/>
    <w:rsid w:val="00640615"/>
    <w:rsid w:val="006410A1"/>
    <w:rsid w:val="00641C74"/>
    <w:rsid w:val="0064309B"/>
    <w:rsid w:val="00644DB6"/>
    <w:rsid w:val="00644EC6"/>
    <w:rsid w:val="00646A46"/>
    <w:rsid w:val="00652C01"/>
    <w:rsid w:val="0065396B"/>
    <w:rsid w:val="0065492F"/>
    <w:rsid w:val="006609D0"/>
    <w:rsid w:val="006628CE"/>
    <w:rsid w:val="006634B1"/>
    <w:rsid w:val="006712F9"/>
    <w:rsid w:val="00676510"/>
    <w:rsid w:val="006767E2"/>
    <w:rsid w:val="0067687D"/>
    <w:rsid w:val="00676F60"/>
    <w:rsid w:val="006777CF"/>
    <w:rsid w:val="006803A9"/>
    <w:rsid w:val="00682EBB"/>
    <w:rsid w:val="006834A2"/>
    <w:rsid w:val="00684934"/>
    <w:rsid w:val="00684AE9"/>
    <w:rsid w:val="00692EBF"/>
    <w:rsid w:val="00696B2C"/>
    <w:rsid w:val="0069788A"/>
    <w:rsid w:val="006A48E1"/>
    <w:rsid w:val="006A4B49"/>
    <w:rsid w:val="006A6A0B"/>
    <w:rsid w:val="006A71C8"/>
    <w:rsid w:val="006B0838"/>
    <w:rsid w:val="006B3FC4"/>
    <w:rsid w:val="006B430B"/>
    <w:rsid w:val="006B530D"/>
    <w:rsid w:val="006C00D7"/>
    <w:rsid w:val="006C1607"/>
    <w:rsid w:val="006C16A7"/>
    <w:rsid w:val="006C5305"/>
    <w:rsid w:val="006C7C89"/>
    <w:rsid w:val="006D2093"/>
    <w:rsid w:val="006D34DB"/>
    <w:rsid w:val="006E0439"/>
    <w:rsid w:val="006E15FA"/>
    <w:rsid w:val="006E1818"/>
    <w:rsid w:val="006E266B"/>
    <w:rsid w:val="006E36F4"/>
    <w:rsid w:val="006E4D39"/>
    <w:rsid w:val="006E5BDC"/>
    <w:rsid w:val="006E7A42"/>
    <w:rsid w:val="006F0A87"/>
    <w:rsid w:val="006F25F4"/>
    <w:rsid w:val="006F3390"/>
    <w:rsid w:val="006F48A0"/>
    <w:rsid w:val="006F56FA"/>
    <w:rsid w:val="006F649C"/>
    <w:rsid w:val="00702A45"/>
    <w:rsid w:val="00705F3D"/>
    <w:rsid w:val="007065DA"/>
    <w:rsid w:val="00706C50"/>
    <w:rsid w:val="0070741B"/>
    <w:rsid w:val="00710FC6"/>
    <w:rsid w:val="00712A59"/>
    <w:rsid w:val="00713779"/>
    <w:rsid w:val="00713FA6"/>
    <w:rsid w:val="00715438"/>
    <w:rsid w:val="00715B57"/>
    <w:rsid w:val="00721528"/>
    <w:rsid w:val="00721C75"/>
    <w:rsid w:val="00723A43"/>
    <w:rsid w:val="0072430C"/>
    <w:rsid w:val="007256AD"/>
    <w:rsid w:val="00725D5C"/>
    <w:rsid w:val="00731188"/>
    <w:rsid w:val="0073158D"/>
    <w:rsid w:val="00733757"/>
    <w:rsid w:val="00733D1F"/>
    <w:rsid w:val="00733ED8"/>
    <w:rsid w:val="00733FE1"/>
    <w:rsid w:val="007341DA"/>
    <w:rsid w:val="00734484"/>
    <w:rsid w:val="00735BB4"/>
    <w:rsid w:val="0073794A"/>
    <w:rsid w:val="00740811"/>
    <w:rsid w:val="00740F76"/>
    <w:rsid w:val="007416D5"/>
    <w:rsid w:val="0074198F"/>
    <w:rsid w:val="00742982"/>
    <w:rsid w:val="00743BFB"/>
    <w:rsid w:val="00747F48"/>
    <w:rsid w:val="007503E4"/>
    <w:rsid w:val="00752E6F"/>
    <w:rsid w:val="00762593"/>
    <w:rsid w:val="00764327"/>
    <w:rsid w:val="007646CD"/>
    <w:rsid w:val="00765EB7"/>
    <w:rsid w:val="00770615"/>
    <w:rsid w:val="00770C73"/>
    <w:rsid w:val="00771679"/>
    <w:rsid w:val="00771BA2"/>
    <w:rsid w:val="007769C6"/>
    <w:rsid w:val="00784DBE"/>
    <w:rsid w:val="00786606"/>
    <w:rsid w:val="0078662C"/>
    <w:rsid w:val="00793E81"/>
    <w:rsid w:val="007947C6"/>
    <w:rsid w:val="007948F3"/>
    <w:rsid w:val="00794DE0"/>
    <w:rsid w:val="00796085"/>
    <w:rsid w:val="007976AE"/>
    <w:rsid w:val="00797C56"/>
    <w:rsid w:val="007A0B61"/>
    <w:rsid w:val="007A228B"/>
    <w:rsid w:val="007A4CA7"/>
    <w:rsid w:val="007A4F8B"/>
    <w:rsid w:val="007A5F1C"/>
    <w:rsid w:val="007B01C7"/>
    <w:rsid w:val="007B0A69"/>
    <w:rsid w:val="007B256C"/>
    <w:rsid w:val="007B51B7"/>
    <w:rsid w:val="007B5D68"/>
    <w:rsid w:val="007B68CF"/>
    <w:rsid w:val="007B691A"/>
    <w:rsid w:val="007B75F2"/>
    <w:rsid w:val="007B778E"/>
    <w:rsid w:val="007C06AB"/>
    <w:rsid w:val="007C178E"/>
    <w:rsid w:val="007C3600"/>
    <w:rsid w:val="007C4512"/>
    <w:rsid w:val="007D2764"/>
    <w:rsid w:val="007D4F0D"/>
    <w:rsid w:val="007D561C"/>
    <w:rsid w:val="007D720F"/>
    <w:rsid w:val="007E041A"/>
    <w:rsid w:val="007E11F6"/>
    <w:rsid w:val="007E4F10"/>
    <w:rsid w:val="007E67FC"/>
    <w:rsid w:val="007E7107"/>
    <w:rsid w:val="007F0779"/>
    <w:rsid w:val="007F10E6"/>
    <w:rsid w:val="007F23DB"/>
    <w:rsid w:val="007F3C27"/>
    <w:rsid w:val="007F3E78"/>
    <w:rsid w:val="007F4911"/>
    <w:rsid w:val="007F5EBD"/>
    <w:rsid w:val="007F7B6C"/>
    <w:rsid w:val="007F7ED7"/>
    <w:rsid w:val="00800C54"/>
    <w:rsid w:val="00805579"/>
    <w:rsid w:val="00811825"/>
    <w:rsid w:val="00816021"/>
    <w:rsid w:val="00816700"/>
    <w:rsid w:val="0082025A"/>
    <w:rsid w:val="0082227E"/>
    <w:rsid w:val="0082318E"/>
    <w:rsid w:val="00825303"/>
    <w:rsid w:val="0082748C"/>
    <w:rsid w:val="00835CC4"/>
    <w:rsid w:val="00836861"/>
    <w:rsid w:val="00836971"/>
    <w:rsid w:val="00840508"/>
    <w:rsid w:val="008407B5"/>
    <w:rsid w:val="00840DF8"/>
    <w:rsid w:val="0084355E"/>
    <w:rsid w:val="00843C9C"/>
    <w:rsid w:val="008440CB"/>
    <w:rsid w:val="00844489"/>
    <w:rsid w:val="0084543A"/>
    <w:rsid w:val="0084707E"/>
    <w:rsid w:val="00847888"/>
    <w:rsid w:val="0085169E"/>
    <w:rsid w:val="00853D07"/>
    <w:rsid w:val="008547E6"/>
    <w:rsid w:val="00860E12"/>
    <w:rsid w:val="0086145E"/>
    <w:rsid w:val="00863246"/>
    <w:rsid w:val="00863C52"/>
    <w:rsid w:val="00871317"/>
    <w:rsid w:val="00871D2B"/>
    <w:rsid w:val="0087260B"/>
    <w:rsid w:val="00875367"/>
    <w:rsid w:val="00876973"/>
    <w:rsid w:val="00881628"/>
    <w:rsid w:val="00886557"/>
    <w:rsid w:val="0088668A"/>
    <w:rsid w:val="00886B7C"/>
    <w:rsid w:val="00891DAC"/>
    <w:rsid w:val="0089214C"/>
    <w:rsid w:val="00896D5A"/>
    <w:rsid w:val="008A44CC"/>
    <w:rsid w:val="008A7CBF"/>
    <w:rsid w:val="008B082D"/>
    <w:rsid w:val="008B0C60"/>
    <w:rsid w:val="008B1D73"/>
    <w:rsid w:val="008B2F0C"/>
    <w:rsid w:val="008B5701"/>
    <w:rsid w:val="008C168A"/>
    <w:rsid w:val="008C27A9"/>
    <w:rsid w:val="008C3245"/>
    <w:rsid w:val="008C522E"/>
    <w:rsid w:val="008D2552"/>
    <w:rsid w:val="008D2F9D"/>
    <w:rsid w:val="008D4FDD"/>
    <w:rsid w:val="008E1D72"/>
    <w:rsid w:val="008E33ED"/>
    <w:rsid w:val="008E414E"/>
    <w:rsid w:val="008E46D5"/>
    <w:rsid w:val="008E5E28"/>
    <w:rsid w:val="008E6C6F"/>
    <w:rsid w:val="008F13B6"/>
    <w:rsid w:val="008F197A"/>
    <w:rsid w:val="008F46A4"/>
    <w:rsid w:val="009019C5"/>
    <w:rsid w:val="009027A8"/>
    <w:rsid w:val="00906AC6"/>
    <w:rsid w:val="00910F80"/>
    <w:rsid w:val="009132CB"/>
    <w:rsid w:val="00923EEA"/>
    <w:rsid w:val="0092586E"/>
    <w:rsid w:val="00925AA7"/>
    <w:rsid w:val="00925BD0"/>
    <w:rsid w:val="00930C7F"/>
    <w:rsid w:val="009325D2"/>
    <w:rsid w:val="00933F49"/>
    <w:rsid w:val="0093408C"/>
    <w:rsid w:val="0093766F"/>
    <w:rsid w:val="0095072E"/>
    <w:rsid w:val="0095167B"/>
    <w:rsid w:val="00953D9B"/>
    <w:rsid w:val="00954C8C"/>
    <w:rsid w:val="00954D74"/>
    <w:rsid w:val="009643DD"/>
    <w:rsid w:val="00966EAE"/>
    <w:rsid w:val="00970871"/>
    <w:rsid w:val="0097098D"/>
    <w:rsid w:val="00970F46"/>
    <w:rsid w:val="0097308A"/>
    <w:rsid w:val="00973C92"/>
    <w:rsid w:val="009742DF"/>
    <w:rsid w:val="0097433A"/>
    <w:rsid w:val="00974D0B"/>
    <w:rsid w:val="0097709A"/>
    <w:rsid w:val="00977604"/>
    <w:rsid w:val="0097764F"/>
    <w:rsid w:val="00980F9D"/>
    <w:rsid w:val="009820AE"/>
    <w:rsid w:val="00982DF3"/>
    <w:rsid w:val="0099087E"/>
    <w:rsid w:val="00990D0D"/>
    <w:rsid w:val="009925B0"/>
    <w:rsid w:val="00994506"/>
    <w:rsid w:val="00994DF1"/>
    <w:rsid w:val="009A11B7"/>
    <w:rsid w:val="009A3D93"/>
    <w:rsid w:val="009B182F"/>
    <w:rsid w:val="009B1C98"/>
    <w:rsid w:val="009B1EC5"/>
    <w:rsid w:val="009B2A86"/>
    <w:rsid w:val="009B5B58"/>
    <w:rsid w:val="009B66E8"/>
    <w:rsid w:val="009B7272"/>
    <w:rsid w:val="009B7E75"/>
    <w:rsid w:val="009C05F9"/>
    <w:rsid w:val="009C1078"/>
    <w:rsid w:val="009C1BB9"/>
    <w:rsid w:val="009C255E"/>
    <w:rsid w:val="009C2E9F"/>
    <w:rsid w:val="009C3FA7"/>
    <w:rsid w:val="009C591E"/>
    <w:rsid w:val="009C5DBC"/>
    <w:rsid w:val="009C66F6"/>
    <w:rsid w:val="009C67EF"/>
    <w:rsid w:val="009C736D"/>
    <w:rsid w:val="009D098E"/>
    <w:rsid w:val="009D30F2"/>
    <w:rsid w:val="009E4AF2"/>
    <w:rsid w:val="009E626A"/>
    <w:rsid w:val="009E62A3"/>
    <w:rsid w:val="009E713D"/>
    <w:rsid w:val="009E74C8"/>
    <w:rsid w:val="009F09E8"/>
    <w:rsid w:val="009F1B4B"/>
    <w:rsid w:val="009F4782"/>
    <w:rsid w:val="009F4F46"/>
    <w:rsid w:val="009F595F"/>
    <w:rsid w:val="009F6D7C"/>
    <w:rsid w:val="009F7339"/>
    <w:rsid w:val="009F7E47"/>
    <w:rsid w:val="00A01C44"/>
    <w:rsid w:val="00A053D0"/>
    <w:rsid w:val="00A05A90"/>
    <w:rsid w:val="00A13AF1"/>
    <w:rsid w:val="00A14894"/>
    <w:rsid w:val="00A15883"/>
    <w:rsid w:val="00A161A3"/>
    <w:rsid w:val="00A21E16"/>
    <w:rsid w:val="00A21ECB"/>
    <w:rsid w:val="00A22757"/>
    <w:rsid w:val="00A22D0A"/>
    <w:rsid w:val="00A309EB"/>
    <w:rsid w:val="00A31025"/>
    <w:rsid w:val="00A33904"/>
    <w:rsid w:val="00A35310"/>
    <w:rsid w:val="00A35F85"/>
    <w:rsid w:val="00A369A7"/>
    <w:rsid w:val="00A36D63"/>
    <w:rsid w:val="00A37034"/>
    <w:rsid w:val="00A40F96"/>
    <w:rsid w:val="00A42FA7"/>
    <w:rsid w:val="00A45AC0"/>
    <w:rsid w:val="00A473CC"/>
    <w:rsid w:val="00A50CE0"/>
    <w:rsid w:val="00A50CE4"/>
    <w:rsid w:val="00A5308A"/>
    <w:rsid w:val="00A54449"/>
    <w:rsid w:val="00A54870"/>
    <w:rsid w:val="00A54879"/>
    <w:rsid w:val="00A54CE4"/>
    <w:rsid w:val="00A60E7F"/>
    <w:rsid w:val="00A61133"/>
    <w:rsid w:val="00A61E7B"/>
    <w:rsid w:val="00A62720"/>
    <w:rsid w:val="00A63074"/>
    <w:rsid w:val="00A64243"/>
    <w:rsid w:val="00A65FD3"/>
    <w:rsid w:val="00A7022B"/>
    <w:rsid w:val="00A71303"/>
    <w:rsid w:val="00A7348B"/>
    <w:rsid w:val="00A73D12"/>
    <w:rsid w:val="00A75ADA"/>
    <w:rsid w:val="00A75BC1"/>
    <w:rsid w:val="00A75FBB"/>
    <w:rsid w:val="00A8086D"/>
    <w:rsid w:val="00A84036"/>
    <w:rsid w:val="00A852C6"/>
    <w:rsid w:val="00A857BD"/>
    <w:rsid w:val="00A859A2"/>
    <w:rsid w:val="00A865C6"/>
    <w:rsid w:val="00A86FDD"/>
    <w:rsid w:val="00A90B43"/>
    <w:rsid w:val="00A93FA3"/>
    <w:rsid w:val="00A94BB7"/>
    <w:rsid w:val="00A97A33"/>
    <w:rsid w:val="00AB0A7C"/>
    <w:rsid w:val="00AB1244"/>
    <w:rsid w:val="00AB4A36"/>
    <w:rsid w:val="00AB5721"/>
    <w:rsid w:val="00AB61D8"/>
    <w:rsid w:val="00AB63CC"/>
    <w:rsid w:val="00AB7EF7"/>
    <w:rsid w:val="00AC6FEC"/>
    <w:rsid w:val="00AC7ACF"/>
    <w:rsid w:val="00AD04D3"/>
    <w:rsid w:val="00AD1E65"/>
    <w:rsid w:val="00AD1F7B"/>
    <w:rsid w:val="00AE001B"/>
    <w:rsid w:val="00AE0693"/>
    <w:rsid w:val="00AE2C5B"/>
    <w:rsid w:val="00AE3ECC"/>
    <w:rsid w:val="00AE60A3"/>
    <w:rsid w:val="00AE7A9C"/>
    <w:rsid w:val="00AF2F10"/>
    <w:rsid w:val="00AF684E"/>
    <w:rsid w:val="00AF6D5B"/>
    <w:rsid w:val="00AF772C"/>
    <w:rsid w:val="00B01901"/>
    <w:rsid w:val="00B038B0"/>
    <w:rsid w:val="00B07F1C"/>
    <w:rsid w:val="00B10744"/>
    <w:rsid w:val="00B113CF"/>
    <w:rsid w:val="00B154A0"/>
    <w:rsid w:val="00B1553F"/>
    <w:rsid w:val="00B21D5F"/>
    <w:rsid w:val="00B23398"/>
    <w:rsid w:val="00B2549E"/>
    <w:rsid w:val="00B2564D"/>
    <w:rsid w:val="00B2578B"/>
    <w:rsid w:val="00B26D36"/>
    <w:rsid w:val="00B2764A"/>
    <w:rsid w:val="00B30D71"/>
    <w:rsid w:val="00B32EC5"/>
    <w:rsid w:val="00B35332"/>
    <w:rsid w:val="00B42148"/>
    <w:rsid w:val="00B4294D"/>
    <w:rsid w:val="00B42D1C"/>
    <w:rsid w:val="00B440A4"/>
    <w:rsid w:val="00B44B84"/>
    <w:rsid w:val="00B44EF8"/>
    <w:rsid w:val="00B50FFC"/>
    <w:rsid w:val="00B51A65"/>
    <w:rsid w:val="00B53C72"/>
    <w:rsid w:val="00B54F71"/>
    <w:rsid w:val="00B5565A"/>
    <w:rsid w:val="00B577BA"/>
    <w:rsid w:val="00B57DE3"/>
    <w:rsid w:val="00B605F8"/>
    <w:rsid w:val="00B60E72"/>
    <w:rsid w:val="00B6267D"/>
    <w:rsid w:val="00B62BA5"/>
    <w:rsid w:val="00B640CC"/>
    <w:rsid w:val="00B644EB"/>
    <w:rsid w:val="00B64901"/>
    <w:rsid w:val="00B65DC4"/>
    <w:rsid w:val="00B70146"/>
    <w:rsid w:val="00B71776"/>
    <w:rsid w:val="00B7347F"/>
    <w:rsid w:val="00B74E77"/>
    <w:rsid w:val="00B81B63"/>
    <w:rsid w:val="00B822E5"/>
    <w:rsid w:val="00B82488"/>
    <w:rsid w:val="00B82B32"/>
    <w:rsid w:val="00B90A0F"/>
    <w:rsid w:val="00B91088"/>
    <w:rsid w:val="00B91E24"/>
    <w:rsid w:val="00BA522E"/>
    <w:rsid w:val="00BA6094"/>
    <w:rsid w:val="00BA73A5"/>
    <w:rsid w:val="00BB014A"/>
    <w:rsid w:val="00BB4184"/>
    <w:rsid w:val="00BB4910"/>
    <w:rsid w:val="00BB52F4"/>
    <w:rsid w:val="00BB567F"/>
    <w:rsid w:val="00BC1540"/>
    <w:rsid w:val="00BC1E6A"/>
    <w:rsid w:val="00BC2F64"/>
    <w:rsid w:val="00BC35DD"/>
    <w:rsid w:val="00BC643A"/>
    <w:rsid w:val="00BC6B40"/>
    <w:rsid w:val="00BD0B80"/>
    <w:rsid w:val="00BD1C5A"/>
    <w:rsid w:val="00BD2BCC"/>
    <w:rsid w:val="00BD2F0B"/>
    <w:rsid w:val="00BD679A"/>
    <w:rsid w:val="00BD67BB"/>
    <w:rsid w:val="00BD7940"/>
    <w:rsid w:val="00BE2B25"/>
    <w:rsid w:val="00BE35EF"/>
    <w:rsid w:val="00BE44D5"/>
    <w:rsid w:val="00BE6340"/>
    <w:rsid w:val="00BF2B05"/>
    <w:rsid w:val="00BF3558"/>
    <w:rsid w:val="00BF53DE"/>
    <w:rsid w:val="00BF611D"/>
    <w:rsid w:val="00BF6930"/>
    <w:rsid w:val="00C02849"/>
    <w:rsid w:val="00C029AD"/>
    <w:rsid w:val="00C043FA"/>
    <w:rsid w:val="00C05834"/>
    <w:rsid w:val="00C05F64"/>
    <w:rsid w:val="00C0668F"/>
    <w:rsid w:val="00C10165"/>
    <w:rsid w:val="00C126D2"/>
    <w:rsid w:val="00C12D53"/>
    <w:rsid w:val="00C12F0D"/>
    <w:rsid w:val="00C14DD5"/>
    <w:rsid w:val="00C157FB"/>
    <w:rsid w:val="00C15D15"/>
    <w:rsid w:val="00C16E6E"/>
    <w:rsid w:val="00C16E99"/>
    <w:rsid w:val="00C21BBD"/>
    <w:rsid w:val="00C22369"/>
    <w:rsid w:val="00C22CF8"/>
    <w:rsid w:val="00C2380E"/>
    <w:rsid w:val="00C24B55"/>
    <w:rsid w:val="00C32347"/>
    <w:rsid w:val="00C329E6"/>
    <w:rsid w:val="00C33521"/>
    <w:rsid w:val="00C3389B"/>
    <w:rsid w:val="00C33CEC"/>
    <w:rsid w:val="00C35383"/>
    <w:rsid w:val="00C3695E"/>
    <w:rsid w:val="00C36CF8"/>
    <w:rsid w:val="00C43124"/>
    <w:rsid w:val="00C469B4"/>
    <w:rsid w:val="00C46BE7"/>
    <w:rsid w:val="00C47424"/>
    <w:rsid w:val="00C52BC4"/>
    <w:rsid w:val="00C55708"/>
    <w:rsid w:val="00C55CB2"/>
    <w:rsid w:val="00C57234"/>
    <w:rsid w:val="00C60C39"/>
    <w:rsid w:val="00C60CBE"/>
    <w:rsid w:val="00C62735"/>
    <w:rsid w:val="00C662F5"/>
    <w:rsid w:val="00C66402"/>
    <w:rsid w:val="00C66A70"/>
    <w:rsid w:val="00C67922"/>
    <w:rsid w:val="00C70980"/>
    <w:rsid w:val="00C70993"/>
    <w:rsid w:val="00C71560"/>
    <w:rsid w:val="00C72CA9"/>
    <w:rsid w:val="00C73A3D"/>
    <w:rsid w:val="00C73C24"/>
    <w:rsid w:val="00C7536A"/>
    <w:rsid w:val="00C77091"/>
    <w:rsid w:val="00C77AC2"/>
    <w:rsid w:val="00C803B6"/>
    <w:rsid w:val="00C8116C"/>
    <w:rsid w:val="00C81C81"/>
    <w:rsid w:val="00C83789"/>
    <w:rsid w:val="00C83839"/>
    <w:rsid w:val="00C8472E"/>
    <w:rsid w:val="00C854FD"/>
    <w:rsid w:val="00C87F12"/>
    <w:rsid w:val="00C900B9"/>
    <w:rsid w:val="00C91934"/>
    <w:rsid w:val="00C928F8"/>
    <w:rsid w:val="00C9292D"/>
    <w:rsid w:val="00C94211"/>
    <w:rsid w:val="00C94643"/>
    <w:rsid w:val="00C94894"/>
    <w:rsid w:val="00C948E2"/>
    <w:rsid w:val="00C962B7"/>
    <w:rsid w:val="00C973B4"/>
    <w:rsid w:val="00C97A08"/>
    <w:rsid w:val="00CA1758"/>
    <w:rsid w:val="00CA1B8F"/>
    <w:rsid w:val="00CA2EE7"/>
    <w:rsid w:val="00CA367E"/>
    <w:rsid w:val="00CA46EA"/>
    <w:rsid w:val="00CA6A39"/>
    <w:rsid w:val="00CB0253"/>
    <w:rsid w:val="00CB1D31"/>
    <w:rsid w:val="00CB294D"/>
    <w:rsid w:val="00CB2970"/>
    <w:rsid w:val="00CB46E3"/>
    <w:rsid w:val="00CB59EE"/>
    <w:rsid w:val="00CB5BB4"/>
    <w:rsid w:val="00CB68D9"/>
    <w:rsid w:val="00CC1ED3"/>
    <w:rsid w:val="00CC2BAA"/>
    <w:rsid w:val="00CC50CD"/>
    <w:rsid w:val="00CC7E8E"/>
    <w:rsid w:val="00CC7ED3"/>
    <w:rsid w:val="00CD0935"/>
    <w:rsid w:val="00CD334F"/>
    <w:rsid w:val="00CD39E9"/>
    <w:rsid w:val="00CD6ABC"/>
    <w:rsid w:val="00CD7B58"/>
    <w:rsid w:val="00CE4E1C"/>
    <w:rsid w:val="00CE60CA"/>
    <w:rsid w:val="00CE768A"/>
    <w:rsid w:val="00CF0B1E"/>
    <w:rsid w:val="00CF0B77"/>
    <w:rsid w:val="00CF4C40"/>
    <w:rsid w:val="00CF64B4"/>
    <w:rsid w:val="00CF6CD4"/>
    <w:rsid w:val="00CF6EB7"/>
    <w:rsid w:val="00CF7BA1"/>
    <w:rsid w:val="00D034F2"/>
    <w:rsid w:val="00D1285C"/>
    <w:rsid w:val="00D14F07"/>
    <w:rsid w:val="00D1648C"/>
    <w:rsid w:val="00D17363"/>
    <w:rsid w:val="00D20CD5"/>
    <w:rsid w:val="00D20CE3"/>
    <w:rsid w:val="00D22155"/>
    <w:rsid w:val="00D225BC"/>
    <w:rsid w:val="00D24C60"/>
    <w:rsid w:val="00D269E5"/>
    <w:rsid w:val="00D275ED"/>
    <w:rsid w:val="00D27DCF"/>
    <w:rsid w:val="00D32D22"/>
    <w:rsid w:val="00D32FB4"/>
    <w:rsid w:val="00D33353"/>
    <w:rsid w:val="00D343D5"/>
    <w:rsid w:val="00D3447B"/>
    <w:rsid w:val="00D349DF"/>
    <w:rsid w:val="00D4085B"/>
    <w:rsid w:val="00D41133"/>
    <w:rsid w:val="00D43B94"/>
    <w:rsid w:val="00D44E03"/>
    <w:rsid w:val="00D50528"/>
    <w:rsid w:val="00D51059"/>
    <w:rsid w:val="00D52AA6"/>
    <w:rsid w:val="00D60ED4"/>
    <w:rsid w:val="00D62628"/>
    <w:rsid w:val="00D63D51"/>
    <w:rsid w:val="00D66A9F"/>
    <w:rsid w:val="00D715E1"/>
    <w:rsid w:val="00D72117"/>
    <w:rsid w:val="00D72979"/>
    <w:rsid w:val="00D72A71"/>
    <w:rsid w:val="00D72AAA"/>
    <w:rsid w:val="00D73E5F"/>
    <w:rsid w:val="00D74C25"/>
    <w:rsid w:val="00D75960"/>
    <w:rsid w:val="00D77EDC"/>
    <w:rsid w:val="00D81FBF"/>
    <w:rsid w:val="00D83F11"/>
    <w:rsid w:val="00D84B52"/>
    <w:rsid w:val="00D84BEC"/>
    <w:rsid w:val="00D851DA"/>
    <w:rsid w:val="00D85721"/>
    <w:rsid w:val="00D85E66"/>
    <w:rsid w:val="00D912F4"/>
    <w:rsid w:val="00D91416"/>
    <w:rsid w:val="00D91804"/>
    <w:rsid w:val="00D922A1"/>
    <w:rsid w:val="00D92FD2"/>
    <w:rsid w:val="00D947F4"/>
    <w:rsid w:val="00D9551E"/>
    <w:rsid w:val="00D965C7"/>
    <w:rsid w:val="00D96879"/>
    <w:rsid w:val="00D96FB6"/>
    <w:rsid w:val="00D977AB"/>
    <w:rsid w:val="00D97CC7"/>
    <w:rsid w:val="00DA0B45"/>
    <w:rsid w:val="00DA241F"/>
    <w:rsid w:val="00DA3288"/>
    <w:rsid w:val="00DA6100"/>
    <w:rsid w:val="00DA6E9A"/>
    <w:rsid w:val="00DA70ED"/>
    <w:rsid w:val="00DA7F64"/>
    <w:rsid w:val="00DB1F06"/>
    <w:rsid w:val="00DB459E"/>
    <w:rsid w:val="00DB4944"/>
    <w:rsid w:val="00DB61CE"/>
    <w:rsid w:val="00DB742A"/>
    <w:rsid w:val="00DC5636"/>
    <w:rsid w:val="00DD3632"/>
    <w:rsid w:val="00DD5765"/>
    <w:rsid w:val="00DE01BB"/>
    <w:rsid w:val="00DE0AF1"/>
    <w:rsid w:val="00DE0F1D"/>
    <w:rsid w:val="00DE27D7"/>
    <w:rsid w:val="00DE6447"/>
    <w:rsid w:val="00DF0090"/>
    <w:rsid w:val="00DF00FE"/>
    <w:rsid w:val="00DF2A13"/>
    <w:rsid w:val="00DF3F76"/>
    <w:rsid w:val="00DF5316"/>
    <w:rsid w:val="00DF5DC7"/>
    <w:rsid w:val="00DF607B"/>
    <w:rsid w:val="00DF61A3"/>
    <w:rsid w:val="00DF6E55"/>
    <w:rsid w:val="00DF7480"/>
    <w:rsid w:val="00E02C42"/>
    <w:rsid w:val="00E03BD5"/>
    <w:rsid w:val="00E051E7"/>
    <w:rsid w:val="00E061B4"/>
    <w:rsid w:val="00E11524"/>
    <w:rsid w:val="00E1340E"/>
    <w:rsid w:val="00E138A2"/>
    <w:rsid w:val="00E13B9D"/>
    <w:rsid w:val="00E15220"/>
    <w:rsid w:val="00E15EBF"/>
    <w:rsid w:val="00E20944"/>
    <w:rsid w:val="00E2159C"/>
    <w:rsid w:val="00E224CB"/>
    <w:rsid w:val="00E237C6"/>
    <w:rsid w:val="00E3012D"/>
    <w:rsid w:val="00E32043"/>
    <w:rsid w:val="00E33AAD"/>
    <w:rsid w:val="00E3697C"/>
    <w:rsid w:val="00E40FF7"/>
    <w:rsid w:val="00E41CB8"/>
    <w:rsid w:val="00E425DB"/>
    <w:rsid w:val="00E43C3E"/>
    <w:rsid w:val="00E44B10"/>
    <w:rsid w:val="00E47B24"/>
    <w:rsid w:val="00E52844"/>
    <w:rsid w:val="00E53597"/>
    <w:rsid w:val="00E54889"/>
    <w:rsid w:val="00E549E6"/>
    <w:rsid w:val="00E607FD"/>
    <w:rsid w:val="00E6172E"/>
    <w:rsid w:val="00E62BF7"/>
    <w:rsid w:val="00E640E5"/>
    <w:rsid w:val="00E719E2"/>
    <w:rsid w:val="00E71DB8"/>
    <w:rsid w:val="00E73FAB"/>
    <w:rsid w:val="00E749A7"/>
    <w:rsid w:val="00E74FFD"/>
    <w:rsid w:val="00E75765"/>
    <w:rsid w:val="00E80783"/>
    <w:rsid w:val="00E817C1"/>
    <w:rsid w:val="00E82B0E"/>
    <w:rsid w:val="00E8576F"/>
    <w:rsid w:val="00E86A82"/>
    <w:rsid w:val="00E87147"/>
    <w:rsid w:val="00E87CAA"/>
    <w:rsid w:val="00E9023B"/>
    <w:rsid w:val="00E927F3"/>
    <w:rsid w:val="00EA23B7"/>
    <w:rsid w:val="00EA2708"/>
    <w:rsid w:val="00EA6BE7"/>
    <w:rsid w:val="00EA7062"/>
    <w:rsid w:val="00EB0059"/>
    <w:rsid w:val="00EB05F9"/>
    <w:rsid w:val="00EB1C1D"/>
    <w:rsid w:val="00EB20A6"/>
    <w:rsid w:val="00EB262D"/>
    <w:rsid w:val="00EB2A50"/>
    <w:rsid w:val="00EB47C2"/>
    <w:rsid w:val="00EB4BE0"/>
    <w:rsid w:val="00EB4FFE"/>
    <w:rsid w:val="00EB7603"/>
    <w:rsid w:val="00EC044F"/>
    <w:rsid w:val="00EC0EC0"/>
    <w:rsid w:val="00EC28FE"/>
    <w:rsid w:val="00EC3752"/>
    <w:rsid w:val="00EC3EBC"/>
    <w:rsid w:val="00EC4073"/>
    <w:rsid w:val="00EC5153"/>
    <w:rsid w:val="00EC762C"/>
    <w:rsid w:val="00ED1205"/>
    <w:rsid w:val="00ED3477"/>
    <w:rsid w:val="00ED52EF"/>
    <w:rsid w:val="00EE0032"/>
    <w:rsid w:val="00EE08E6"/>
    <w:rsid w:val="00EE26BE"/>
    <w:rsid w:val="00EE31B6"/>
    <w:rsid w:val="00EE745F"/>
    <w:rsid w:val="00EE7996"/>
    <w:rsid w:val="00EF0B60"/>
    <w:rsid w:val="00EF1E61"/>
    <w:rsid w:val="00EF2738"/>
    <w:rsid w:val="00EF3860"/>
    <w:rsid w:val="00EF5477"/>
    <w:rsid w:val="00F0108A"/>
    <w:rsid w:val="00F0341B"/>
    <w:rsid w:val="00F0711C"/>
    <w:rsid w:val="00F10878"/>
    <w:rsid w:val="00F1452E"/>
    <w:rsid w:val="00F16C4D"/>
    <w:rsid w:val="00F17C92"/>
    <w:rsid w:val="00F17E63"/>
    <w:rsid w:val="00F2013E"/>
    <w:rsid w:val="00F207C7"/>
    <w:rsid w:val="00F23704"/>
    <w:rsid w:val="00F23DA8"/>
    <w:rsid w:val="00F2404C"/>
    <w:rsid w:val="00F24DE7"/>
    <w:rsid w:val="00F25C70"/>
    <w:rsid w:val="00F25DBA"/>
    <w:rsid w:val="00F26836"/>
    <w:rsid w:val="00F3009D"/>
    <w:rsid w:val="00F30392"/>
    <w:rsid w:val="00F34EB1"/>
    <w:rsid w:val="00F357DA"/>
    <w:rsid w:val="00F3703B"/>
    <w:rsid w:val="00F37135"/>
    <w:rsid w:val="00F40C83"/>
    <w:rsid w:val="00F41407"/>
    <w:rsid w:val="00F41975"/>
    <w:rsid w:val="00F42DA5"/>
    <w:rsid w:val="00F42DD0"/>
    <w:rsid w:val="00F449DC"/>
    <w:rsid w:val="00F44F7B"/>
    <w:rsid w:val="00F50FB6"/>
    <w:rsid w:val="00F55ECE"/>
    <w:rsid w:val="00F56422"/>
    <w:rsid w:val="00F56988"/>
    <w:rsid w:val="00F571C1"/>
    <w:rsid w:val="00F62FA3"/>
    <w:rsid w:val="00F63EB8"/>
    <w:rsid w:val="00F65552"/>
    <w:rsid w:val="00F66733"/>
    <w:rsid w:val="00F7170A"/>
    <w:rsid w:val="00F737F4"/>
    <w:rsid w:val="00F73DD4"/>
    <w:rsid w:val="00F73F71"/>
    <w:rsid w:val="00F777E8"/>
    <w:rsid w:val="00F77E02"/>
    <w:rsid w:val="00F82E64"/>
    <w:rsid w:val="00F8333F"/>
    <w:rsid w:val="00F837FB"/>
    <w:rsid w:val="00F85C73"/>
    <w:rsid w:val="00F85CAB"/>
    <w:rsid w:val="00F85FEF"/>
    <w:rsid w:val="00F8637F"/>
    <w:rsid w:val="00F8656E"/>
    <w:rsid w:val="00F871F0"/>
    <w:rsid w:val="00F878C3"/>
    <w:rsid w:val="00F87DCF"/>
    <w:rsid w:val="00F911C0"/>
    <w:rsid w:val="00F93A8C"/>
    <w:rsid w:val="00F93DC8"/>
    <w:rsid w:val="00F958DC"/>
    <w:rsid w:val="00F95D1A"/>
    <w:rsid w:val="00FA0F94"/>
    <w:rsid w:val="00FA3101"/>
    <w:rsid w:val="00FA37C3"/>
    <w:rsid w:val="00FA51B1"/>
    <w:rsid w:val="00FA67FF"/>
    <w:rsid w:val="00FA71AF"/>
    <w:rsid w:val="00FB3DB0"/>
    <w:rsid w:val="00FB55AE"/>
    <w:rsid w:val="00FC79F8"/>
    <w:rsid w:val="00FD05F7"/>
    <w:rsid w:val="00FD0DD2"/>
    <w:rsid w:val="00FD1DBF"/>
    <w:rsid w:val="00FD2F44"/>
    <w:rsid w:val="00FD64D7"/>
    <w:rsid w:val="00FD734F"/>
    <w:rsid w:val="00FE0361"/>
    <w:rsid w:val="00FE22F0"/>
    <w:rsid w:val="00FE2898"/>
    <w:rsid w:val="00FE4BC4"/>
    <w:rsid w:val="00FE550F"/>
    <w:rsid w:val="00FE747B"/>
    <w:rsid w:val="00FF4B4C"/>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55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heme="minorEastAsia" w:hAnsi="Minion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E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85C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69B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776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FD"/>
    <w:rPr>
      <w:color w:val="0000FF" w:themeColor="hyperlink"/>
      <w:u w:val="single"/>
    </w:rPr>
  </w:style>
  <w:style w:type="character" w:customStyle="1" w:styleId="Heading2Char">
    <w:name w:val="Heading 2 Char"/>
    <w:basedOn w:val="DefaultParagraphFont"/>
    <w:link w:val="Heading2"/>
    <w:uiPriority w:val="9"/>
    <w:semiHidden/>
    <w:rsid w:val="00185C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85CF4"/>
    <w:rPr>
      <w:color w:val="800080" w:themeColor="followedHyperlink"/>
      <w:u w:val="single"/>
    </w:rPr>
  </w:style>
  <w:style w:type="paragraph" w:styleId="ListParagraph">
    <w:name w:val="List Paragraph"/>
    <w:basedOn w:val="Normal"/>
    <w:uiPriority w:val="34"/>
    <w:qFormat/>
    <w:rsid w:val="00CF6CD4"/>
    <w:pPr>
      <w:ind w:left="720"/>
      <w:contextualSpacing/>
    </w:pPr>
  </w:style>
  <w:style w:type="paragraph" w:styleId="FootnoteText">
    <w:name w:val="footnote text"/>
    <w:basedOn w:val="Normal"/>
    <w:link w:val="FootnoteTextChar"/>
    <w:uiPriority w:val="99"/>
    <w:unhideWhenUsed/>
    <w:rsid w:val="003F0C44"/>
    <w:rPr>
      <w:sz w:val="20"/>
    </w:rPr>
  </w:style>
  <w:style w:type="character" w:customStyle="1" w:styleId="FootnoteTextChar">
    <w:name w:val="Footnote Text Char"/>
    <w:basedOn w:val="DefaultParagraphFont"/>
    <w:link w:val="FootnoteText"/>
    <w:uiPriority w:val="99"/>
    <w:rsid w:val="003F0C44"/>
    <w:rPr>
      <w:sz w:val="20"/>
    </w:rPr>
  </w:style>
  <w:style w:type="character" w:styleId="FootnoteReference">
    <w:name w:val="footnote reference"/>
    <w:basedOn w:val="apple-converted-space"/>
    <w:uiPriority w:val="99"/>
    <w:unhideWhenUsed/>
    <w:rsid w:val="00ED3477"/>
    <w:rPr>
      <w:vertAlign w:val="superscript"/>
    </w:rPr>
  </w:style>
  <w:style w:type="paragraph" w:styleId="NormalWeb">
    <w:name w:val="Normal (Web)"/>
    <w:basedOn w:val="Normal"/>
    <w:uiPriority w:val="99"/>
    <w:semiHidden/>
    <w:unhideWhenUsed/>
    <w:rsid w:val="00C67922"/>
    <w:rPr>
      <w:rFonts w:ascii="Times New Roman" w:hAnsi="Times New Roman" w:cs="Times New Roman"/>
    </w:rPr>
  </w:style>
  <w:style w:type="character" w:styleId="Strong">
    <w:name w:val="Strong"/>
    <w:basedOn w:val="DefaultParagraphFont"/>
    <w:uiPriority w:val="22"/>
    <w:qFormat/>
    <w:rsid w:val="00560CF9"/>
    <w:rPr>
      <w:b/>
      <w:bCs/>
    </w:rPr>
  </w:style>
  <w:style w:type="character" w:customStyle="1" w:styleId="apple-converted-space">
    <w:name w:val="apple-converted-space"/>
    <w:basedOn w:val="DefaultParagraphFont"/>
    <w:rsid w:val="00560CF9"/>
  </w:style>
  <w:style w:type="character" w:customStyle="1" w:styleId="Heading1Char">
    <w:name w:val="Heading 1 Char"/>
    <w:basedOn w:val="DefaultParagraphFont"/>
    <w:link w:val="Heading1"/>
    <w:uiPriority w:val="9"/>
    <w:rsid w:val="005B3EAE"/>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semiHidden/>
    <w:unhideWhenUsed/>
    <w:rsid w:val="004D1CF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4D1CF5"/>
    <w:rPr>
      <w:rFonts w:ascii="Courier" w:hAnsi="Courier"/>
      <w:sz w:val="20"/>
      <w:szCs w:val="20"/>
    </w:rPr>
  </w:style>
  <w:style w:type="paragraph" w:styleId="Footer">
    <w:name w:val="footer"/>
    <w:basedOn w:val="Normal"/>
    <w:link w:val="FooterChar"/>
    <w:uiPriority w:val="99"/>
    <w:unhideWhenUsed/>
    <w:rsid w:val="00446242"/>
    <w:pPr>
      <w:tabs>
        <w:tab w:val="center" w:pos="4320"/>
        <w:tab w:val="right" w:pos="8640"/>
      </w:tabs>
    </w:pPr>
  </w:style>
  <w:style w:type="character" w:customStyle="1" w:styleId="FooterChar">
    <w:name w:val="Footer Char"/>
    <w:basedOn w:val="DefaultParagraphFont"/>
    <w:link w:val="Footer"/>
    <w:uiPriority w:val="99"/>
    <w:rsid w:val="00446242"/>
  </w:style>
  <w:style w:type="character" w:styleId="PageNumber">
    <w:name w:val="page number"/>
    <w:basedOn w:val="DefaultParagraphFont"/>
    <w:uiPriority w:val="99"/>
    <w:semiHidden/>
    <w:unhideWhenUsed/>
    <w:rsid w:val="00446242"/>
  </w:style>
  <w:style w:type="paragraph" w:styleId="Header">
    <w:name w:val="header"/>
    <w:basedOn w:val="Normal"/>
    <w:link w:val="HeaderChar"/>
    <w:uiPriority w:val="99"/>
    <w:unhideWhenUsed/>
    <w:rsid w:val="00446242"/>
    <w:pPr>
      <w:tabs>
        <w:tab w:val="center" w:pos="4320"/>
        <w:tab w:val="right" w:pos="8640"/>
      </w:tabs>
    </w:pPr>
  </w:style>
  <w:style w:type="character" w:customStyle="1" w:styleId="HeaderChar">
    <w:name w:val="Header Char"/>
    <w:basedOn w:val="DefaultParagraphFont"/>
    <w:link w:val="Header"/>
    <w:uiPriority w:val="99"/>
    <w:rsid w:val="00446242"/>
  </w:style>
  <w:style w:type="character" w:customStyle="1" w:styleId="Heading3Char">
    <w:name w:val="Heading 3 Char"/>
    <w:basedOn w:val="DefaultParagraphFont"/>
    <w:link w:val="Heading3"/>
    <w:uiPriority w:val="9"/>
    <w:semiHidden/>
    <w:rsid w:val="003F69B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97764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heme="minorEastAsia" w:hAnsi="Minion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3E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85C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69B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776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FD"/>
    <w:rPr>
      <w:color w:val="0000FF" w:themeColor="hyperlink"/>
      <w:u w:val="single"/>
    </w:rPr>
  </w:style>
  <w:style w:type="character" w:customStyle="1" w:styleId="Heading2Char">
    <w:name w:val="Heading 2 Char"/>
    <w:basedOn w:val="DefaultParagraphFont"/>
    <w:link w:val="Heading2"/>
    <w:uiPriority w:val="9"/>
    <w:semiHidden/>
    <w:rsid w:val="00185C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85CF4"/>
    <w:rPr>
      <w:color w:val="800080" w:themeColor="followedHyperlink"/>
      <w:u w:val="single"/>
    </w:rPr>
  </w:style>
  <w:style w:type="paragraph" w:styleId="ListParagraph">
    <w:name w:val="List Paragraph"/>
    <w:basedOn w:val="Normal"/>
    <w:uiPriority w:val="34"/>
    <w:qFormat/>
    <w:rsid w:val="00CF6CD4"/>
    <w:pPr>
      <w:ind w:left="720"/>
      <w:contextualSpacing/>
    </w:pPr>
  </w:style>
  <w:style w:type="paragraph" w:styleId="FootnoteText">
    <w:name w:val="footnote text"/>
    <w:basedOn w:val="Normal"/>
    <w:link w:val="FootnoteTextChar"/>
    <w:uiPriority w:val="99"/>
    <w:unhideWhenUsed/>
    <w:rsid w:val="003F0C44"/>
    <w:rPr>
      <w:sz w:val="20"/>
    </w:rPr>
  </w:style>
  <w:style w:type="character" w:customStyle="1" w:styleId="FootnoteTextChar">
    <w:name w:val="Footnote Text Char"/>
    <w:basedOn w:val="DefaultParagraphFont"/>
    <w:link w:val="FootnoteText"/>
    <w:uiPriority w:val="99"/>
    <w:rsid w:val="003F0C44"/>
    <w:rPr>
      <w:sz w:val="20"/>
    </w:rPr>
  </w:style>
  <w:style w:type="character" w:styleId="FootnoteReference">
    <w:name w:val="footnote reference"/>
    <w:basedOn w:val="apple-converted-space"/>
    <w:uiPriority w:val="99"/>
    <w:unhideWhenUsed/>
    <w:rsid w:val="00ED3477"/>
    <w:rPr>
      <w:vertAlign w:val="superscript"/>
    </w:rPr>
  </w:style>
  <w:style w:type="paragraph" w:styleId="NormalWeb">
    <w:name w:val="Normal (Web)"/>
    <w:basedOn w:val="Normal"/>
    <w:uiPriority w:val="99"/>
    <w:semiHidden/>
    <w:unhideWhenUsed/>
    <w:rsid w:val="00C67922"/>
    <w:rPr>
      <w:rFonts w:ascii="Times New Roman" w:hAnsi="Times New Roman" w:cs="Times New Roman"/>
    </w:rPr>
  </w:style>
  <w:style w:type="character" w:styleId="Strong">
    <w:name w:val="Strong"/>
    <w:basedOn w:val="DefaultParagraphFont"/>
    <w:uiPriority w:val="22"/>
    <w:qFormat/>
    <w:rsid w:val="00560CF9"/>
    <w:rPr>
      <w:b/>
      <w:bCs/>
    </w:rPr>
  </w:style>
  <w:style w:type="character" w:customStyle="1" w:styleId="apple-converted-space">
    <w:name w:val="apple-converted-space"/>
    <w:basedOn w:val="DefaultParagraphFont"/>
    <w:rsid w:val="00560CF9"/>
  </w:style>
  <w:style w:type="character" w:customStyle="1" w:styleId="Heading1Char">
    <w:name w:val="Heading 1 Char"/>
    <w:basedOn w:val="DefaultParagraphFont"/>
    <w:link w:val="Heading1"/>
    <w:uiPriority w:val="9"/>
    <w:rsid w:val="005B3EAE"/>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semiHidden/>
    <w:unhideWhenUsed/>
    <w:rsid w:val="004D1CF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4D1CF5"/>
    <w:rPr>
      <w:rFonts w:ascii="Courier" w:hAnsi="Courier"/>
      <w:sz w:val="20"/>
      <w:szCs w:val="20"/>
    </w:rPr>
  </w:style>
  <w:style w:type="paragraph" w:styleId="Footer">
    <w:name w:val="footer"/>
    <w:basedOn w:val="Normal"/>
    <w:link w:val="FooterChar"/>
    <w:uiPriority w:val="99"/>
    <w:unhideWhenUsed/>
    <w:rsid w:val="00446242"/>
    <w:pPr>
      <w:tabs>
        <w:tab w:val="center" w:pos="4320"/>
        <w:tab w:val="right" w:pos="8640"/>
      </w:tabs>
    </w:pPr>
  </w:style>
  <w:style w:type="character" w:customStyle="1" w:styleId="FooterChar">
    <w:name w:val="Footer Char"/>
    <w:basedOn w:val="DefaultParagraphFont"/>
    <w:link w:val="Footer"/>
    <w:uiPriority w:val="99"/>
    <w:rsid w:val="00446242"/>
  </w:style>
  <w:style w:type="character" w:styleId="PageNumber">
    <w:name w:val="page number"/>
    <w:basedOn w:val="DefaultParagraphFont"/>
    <w:uiPriority w:val="99"/>
    <w:semiHidden/>
    <w:unhideWhenUsed/>
    <w:rsid w:val="00446242"/>
  </w:style>
  <w:style w:type="paragraph" w:styleId="Header">
    <w:name w:val="header"/>
    <w:basedOn w:val="Normal"/>
    <w:link w:val="HeaderChar"/>
    <w:uiPriority w:val="99"/>
    <w:unhideWhenUsed/>
    <w:rsid w:val="00446242"/>
    <w:pPr>
      <w:tabs>
        <w:tab w:val="center" w:pos="4320"/>
        <w:tab w:val="right" w:pos="8640"/>
      </w:tabs>
    </w:pPr>
  </w:style>
  <w:style w:type="character" w:customStyle="1" w:styleId="HeaderChar">
    <w:name w:val="Header Char"/>
    <w:basedOn w:val="DefaultParagraphFont"/>
    <w:link w:val="Header"/>
    <w:uiPriority w:val="99"/>
    <w:rsid w:val="00446242"/>
  </w:style>
  <w:style w:type="character" w:customStyle="1" w:styleId="Heading3Char">
    <w:name w:val="Heading 3 Char"/>
    <w:basedOn w:val="DefaultParagraphFont"/>
    <w:link w:val="Heading3"/>
    <w:uiPriority w:val="9"/>
    <w:semiHidden/>
    <w:rsid w:val="003F69B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9776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174">
      <w:bodyDiv w:val="1"/>
      <w:marLeft w:val="0"/>
      <w:marRight w:val="0"/>
      <w:marTop w:val="0"/>
      <w:marBottom w:val="0"/>
      <w:divBdr>
        <w:top w:val="none" w:sz="0" w:space="0" w:color="auto"/>
        <w:left w:val="none" w:sz="0" w:space="0" w:color="auto"/>
        <w:bottom w:val="none" w:sz="0" w:space="0" w:color="auto"/>
        <w:right w:val="none" w:sz="0" w:space="0" w:color="auto"/>
      </w:divBdr>
    </w:div>
    <w:div w:id="17507913">
      <w:bodyDiv w:val="1"/>
      <w:marLeft w:val="0"/>
      <w:marRight w:val="0"/>
      <w:marTop w:val="0"/>
      <w:marBottom w:val="0"/>
      <w:divBdr>
        <w:top w:val="none" w:sz="0" w:space="0" w:color="auto"/>
        <w:left w:val="none" w:sz="0" w:space="0" w:color="auto"/>
        <w:bottom w:val="none" w:sz="0" w:space="0" w:color="auto"/>
        <w:right w:val="none" w:sz="0" w:space="0" w:color="auto"/>
      </w:divBdr>
    </w:div>
    <w:div w:id="22220336">
      <w:bodyDiv w:val="1"/>
      <w:marLeft w:val="0"/>
      <w:marRight w:val="0"/>
      <w:marTop w:val="0"/>
      <w:marBottom w:val="0"/>
      <w:divBdr>
        <w:top w:val="none" w:sz="0" w:space="0" w:color="auto"/>
        <w:left w:val="none" w:sz="0" w:space="0" w:color="auto"/>
        <w:bottom w:val="none" w:sz="0" w:space="0" w:color="auto"/>
        <w:right w:val="none" w:sz="0" w:space="0" w:color="auto"/>
      </w:divBdr>
    </w:div>
    <w:div w:id="38015222">
      <w:bodyDiv w:val="1"/>
      <w:marLeft w:val="0"/>
      <w:marRight w:val="0"/>
      <w:marTop w:val="0"/>
      <w:marBottom w:val="0"/>
      <w:divBdr>
        <w:top w:val="none" w:sz="0" w:space="0" w:color="auto"/>
        <w:left w:val="none" w:sz="0" w:space="0" w:color="auto"/>
        <w:bottom w:val="none" w:sz="0" w:space="0" w:color="auto"/>
        <w:right w:val="none" w:sz="0" w:space="0" w:color="auto"/>
      </w:divBdr>
    </w:div>
    <w:div w:id="57633628">
      <w:bodyDiv w:val="1"/>
      <w:marLeft w:val="0"/>
      <w:marRight w:val="0"/>
      <w:marTop w:val="0"/>
      <w:marBottom w:val="0"/>
      <w:divBdr>
        <w:top w:val="none" w:sz="0" w:space="0" w:color="auto"/>
        <w:left w:val="none" w:sz="0" w:space="0" w:color="auto"/>
        <w:bottom w:val="none" w:sz="0" w:space="0" w:color="auto"/>
        <w:right w:val="none" w:sz="0" w:space="0" w:color="auto"/>
      </w:divBdr>
    </w:div>
    <w:div w:id="59405615">
      <w:bodyDiv w:val="1"/>
      <w:marLeft w:val="0"/>
      <w:marRight w:val="0"/>
      <w:marTop w:val="0"/>
      <w:marBottom w:val="0"/>
      <w:divBdr>
        <w:top w:val="none" w:sz="0" w:space="0" w:color="auto"/>
        <w:left w:val="none" w:sz="0" w:space="0" w:color="auto"/>
        <w:bottom w:val="none" w:sz="0" w:space="0" w:color="auto"/>
        <w:right w:val="none" w:sz="0" w:space="0" w:color="auto"/>
      </w:divBdr>
    </w:div>
    <w:div w:id="67659970">
      <w:bodyDiv w:val="1"/>
      <w:marLeft w:val="0"/>
      <w:marRight w:val="0"/>
      <w:marTop w:val="0"/>
      <w:marBottom w:val="0"/>
      <w:divBdr>
        <w:top w:val="none" w:sz="0" w:space="0" w:color="auto"/>
        <w:left w:val="none" w:sz="0" w:space="0" w:color="auto"/>
        <w:bottom w:val="none" w:sz="0" w:space="0" w:color="auto"/>
        <w:right w:val="none" w:sz="0" w:space="0" w:color="auto"/>
      </w:divBdr>
    </w:div>
    <w:div w:id="73624584">
      <w:bodyDiv w:val="1"/>
      <w:marLeft w:val="0"/>
      <w:marRight w:val="0"/>
      <w:marTop w:val="0"/>
      <w:marBottom w:val="0"/>
      <w:divBdr>
        <w:top w:val="none" w:sz="0" w:space="0" w:color="auto"/>
        <w:left w:val="none" w:sz="0" w:space="0" w:color="auto"/>
        <w:bottom w:val="none" w:sz="0" w:space="0" w:color="auto"/>
        <w:right w:val="none" w:sz="0" w:space="0" w:color="auto"/>
      </w:divBdr>
    </w:div>
    <w:div w:id="84150333">
      <w:bodyDiv w:val="1"/>
      <w:marLeft w:val="0"/>
      <w:marRight w:val="0"/>
      <w:marTop w:val="0"/>
      <w:marBottom w:val="0"/>
      <w:divBdr>
        <w:top w:val="none" w:sz="0" w:space="0" w:color="auto"/>
        <w:left w:val="none" w:sz="0" w:space="0" w:color="auto"/>
        <w:bottom w:val="none" w:sz="0" w:space="0" w:color="auto"/>
        <w:right w:val="none" w:sz="0" w:space="0" w:color="auto"/>
      </w:divBdr>
    </w:div>
    <w:div w:id="95832404">
      <w:bodyDiv w:val="1"/>
      <w:marLeft w:val="0"/>
      <w:marRight w:val="0"/>
      <w:marTop w:val="0"/>
      <w:marBottom w:val="0"/>
      <w:divBdr>
        <w:top w:val="none" w:sz="0" w:space="0" w:color="auto"/>
        <w:left w:val="none" w:sz="0" w:space="0" w:color="auto"/>
        <w:bottom w:val="none" w:sz="0" w:space="0" w:color="auto"/>
        <w:right w:val="none" w:sz="0" w:space="0" w:color="auto"/>
      </w:divBdr>
    </w:div>
    <w:div w:id="103422549">
      <w:bodyDiv w:val="1"/>
      <w:marLeft w:val="0"/>
      <w:marRight w:val="0"/>
      <w:marTop w:val="0"/>
      <w:marBottom w:val="0"/>
      <w:divBdr>
        <w:top w:val="none" w:sz="0" w:space="0" w:color="auto"/>
        <w:left w:val="none" w:sz="0" w:space="0" w:color="auto"/>
        <w:bottom w:val="none" w:sz="0" w:space="0" w:color="auto"/>
        <w:right w:val="none" w:sz="0" w:space="0" w:color="auto"/>
      </w:divBdr>
    </w:div>
    <w:div w:id="115222051">
      <w:bodyDiv w:val="1"/>
      <w:marLeft w:val="0"/>
      <w:marRight w:val="0"/>
      <w:marTop w:val="0"/>
      <w:marBottom w:val="0"/>
      <w:divBdr>
        <w:top w:val="none" w:sz="0" w:space="0" w:color="auto"/>
        <w:left w:val="none" w:sz="0" w:space="0" w:color="auto"/>
        <w:bottom w:val="none" w:sz="0" w:space="0" w:color="auto"/>
        <w:right w:val="none" w:sz="0" w:space="0" w:color="auto"/>
      </w:divBdr>
    </w:div>
    <w:div w:id="117918597">
      <w:bodyDiv w:val="1"/>
      <w:marLeft w:val="0"/>
      <w:marRight w:val="0"/>
      <w:marTop w:val="0"/>
      <w:marBottom w:val="0"/>
      <w:divBdr>
        <w:top w:val="none" w:sz="0" w:space="0" w:color="auto"/>
        <w:left w:val="none" w:sz="0" w:space="0" w:color="auto"/>
        <w:bottom w:val="none" w:sz="0" w:space="0" w:color="auto"/>
        <w:right w:val="none" w:sz="0" w:space="0" w:color="auto"/>
      </w:divBdr>
    </w:div>
    <w:div w:id="121971786">
      <w:bodyDiv w:val="1"/>
      <w:marLeft w:val="0"/>
      <w:marRight w:val="0"/>
      <w:marTop w:val="0"/>
      <w:marBottom w:val="0"/>
      <w:divBdr>
        <w:top w:val="none" w:sz="0" w:space="0" w:color="auto"/>
        <w:left w:val="none" w:sz="0" w:space="0" w:color="auto"/>
        <w:bottom w:val="none" w:sz="0" w:space="0" w:color="auto"/>
        <w:right w:val="none" w:sz="0" w:space="0" w:color="auto"/>
      </w:divBdr>
    </w:div>
    <w:div w:id="126969045">
      <w:bodyDiv w:val="1"/>
      <w:marLeft w:val="0"/>
      <w:marRight w:val="0"/>
      <w:marTop w:val="0"/>
      <w:marBottom w:val="0"/>
      <w:divBdr>
        <w:top w:val="none" w:sz="0" w:space="0" w:color="auto"/>
        <w:left w:val="none" w:sz="0" w:space="0" w:color="auto"/>
        <w:bottom w:val="none" w:sz="0" w:space="0" w:color="auto"/>
        <w:right w:val="none" w:sz="0" w:space="0" w:color="auto"/>
      </w:divBdr>
    </w:div>
    <w:div w:id="127404785">
      <w:bodyDiv w:val="1"/>
      <w:marLeft w:val="0"/>
      <w:marRight w:val="0"/>
      <w:marTop w:val="0"/>
      <w:marBottom w:val="0"/>
      <w:divBdr>
        <w:top w:val="none" w:sz="0" w:space="0" w:color="auto"/>
        <w:left w:val="none" w:sz="0" w:space="0" w:color="auto"/>
        <w:bottom w:val="none" w:sz="0" w:space="0" w:color="auto"/>
        <w:right w:val="none" w:sz="0" w:space="0" w:color="auto"/>
      </w:divBdr>
    </w:div>
    <w:div w:id="136143317">
      <w:bodyDiv w:val="1"/>
      <w:marLeft w:val="0"/>
      <w:marRight w:val="0"/>
      <w:marTop w:val="0"/>
      <w:marBottom w:val="0"/>
      <w:divBdr>
        <w:top w:val="none" w:sz="0" w:space="0" w:color="auto"/>
        <w:left w:val="none" w:sz="0" w:space="0" w:color="auto"/>
        <w:bottom w:val="none" w:sz="0" w:space="0" w:color="auto"/>
        <w:right w:val="none" w:sz="0" w:space="0" w:color="auto"/>
      </w:divBdr>
    </w:div>
    <w:div w:id="150097172">
      <w:bodyDiv w:val="1"/>
      <w:marLeft w:val="0"/>
      <w:marRight w:val="0"/>
      <w:marTop w:val="0"/>
      <w:marBottom w:val="0"/>
      <w:divBdr>
        <w:top w:val="none" w:sz="0" w:space="0" w:color="auto"/>
        <w:left w:val="none" w:sz="0" w:space="0" w:color="auto"/>
        <w:bottom w:val="none" w:sz="0" w:space="0" w:color="auto"/>
        <w:right w:val="none" w:sz="0" w:space="0" w:color="auto"/>
      </w:divBdr>
    </w:div>
    <w:div w:id="157117715">
      <w:bodyDiv w:val="1"/>
      <w:marLeft w:val="0"/>
      <w:marRight w:val="0"/>
      <w:marTop w:val="0"/>
      <w:marBottom w:val="0"/>
      <w:divBdr>
        <w:top w:val="none" w:sz="0" w:space="0" w:color="auto"/>
        <w:left w:val="none" w:sz="0" w:space="0" w:color="auto"/>
        <w:bottom w:val="none" w:sz="0" w:space="0" w:color="auto"/>
        <w:right w:val="none" w:sz="0" w:space="0" w:color="auto"/>
      </w:divBdr>
    </w:div>
    <w:div w:id="167644598">
      <w:bodyDiv w:val="1"/>
      <w:marLeft w:val="0"/>
      <w:marRight w:val="0"/>
      <w:marTop w:val="0"/>
      <w:marBottom w:val="0"/>
      <w:divBdr>
        <w:top w:val="none" w:sz="0" w:space="0" w:color="auto"/>
        <w:left w:val="none" w:sz="0" w:space="0" w:color="auto"/>
        <w:bottom w:val="none" w:sz="0" w:space="0" w:color="auto"/>
        <w:right w:val="none" w:sz="0" w:space="0" w:color="auto"/>
      </w:divBdr>
    </w:div>
    <w:div w:id="173301396">
      <w:bodyDiv w:val="1"/>
      <w:marLeft w:val="0"/>
      <w:marRight w:val="0"/>
      <w:marTop w:val="0"/>
      <w:marBottom w:val="0"/>
      <w:divBdr>
        <w:top w:val="none" w:sz="0" w:space="0" w:color="auto"/>
        <w:left w:val="none" w:sz="0" w:space="0" w:color="auto"/>
        <w:bottom w:val="none" w:sz="0" w:space="0" w:color="auto"/>
        <w:right w:val="none" w:sz="0" w:space="0" w:color="auto"/>
      </w:divBdr>
    </w:div>
    <w:div w:id="184440600">
      <w:bodyDiv w:val="1"/>
      <w:marLeft w:val="0"/>
      <w:marRight w:val="0"/>
      <w:marTop w:val="0"/>
      <w:marBottom w:val="0"/>
      <w:divBdr>
        <w:top w:val="none" w:sz="0" w:space="0" w:color="auto"/>
        <w:left w:val="none" w:sz="0" w:space="0" w:color="auto"/>
        <w:bottom w:val="none" w:sz="0" w:space="0" w:color="auto"/>
        <w:right w:val="none" w:sz="0" w:space="0" w:color="auto"/>
      </w:divBdr>
    </w:div>
    <w:div w:id="186069349">
      <w:bodyDiv w:val="1"/>
      <w:marLeft w:val="0"/>
      <w:marRight w:val="0"/>
      <w:marTop w:val="0"/>
      <w:marBottom w:val="0"/>
      <w:divBdr>
        <w:top w:val="none" w:sz="0" w:space="0" w:color="auto"/>
        <w:left w:val="none" w:sz="0" w:space="0" w:color="auto"/>
        <w:bottom w:val="none" w:sz="0" w:space="0" w:color="auto"/>
        <w:right w:val="none" w:sz="0" w:space="0" w:color="auto"/>
      </w:divBdr>
    </w:div>
    <w:div w:id="192501692">
      <w:bodyDiv w:val="1"/>
      <w:marLeft w:val="0"/>
      <w:marRight w:val="0"/>
      <w:marTop w:val="0"/>
      <w:marBottom w:val="0"/>
      <w:divBdr>
        <w:top w:val="none" w:sz="0" w:space="0" w:color="auto"/>
        <w:left w:val="none" w:sz="0" w:space="0" w:color="auto"/>
        <w:bottom w:val="none" w:sz="0" w:space="0" w:color="auto"/>
        <w:right w:val="none" w:sz="0" w:space="0" w:color="auto"/>
      </w:divBdr>
    </w:div>
    <w:div w:id="202596504">
      <w:bodyDiv w:val="1"/>
      <w:marLeft w:val="0"/>
      <w:marRight w:val="0"/>
      <w:marTop w:val="0"/>
      <w:marBottom w:val="0"/>
      <w:divBdr>
        <w:top w:val="none" w:sz="0" w:space="0" w:color="auto"/>
        <w:left w:val="none" w:sz="0" w:space="0" w:color="auto"/>
        <w:bottom w:val="none" w:sz="0" w:space="0" w:color="auto"/>
        <w:right w:val="none" w:sz="0" w:space="0" w:color="auto"/>
      </w:divBdr>
    </w:div>
    <w:div w:id="213007950">
      <w:bodyDiv w:val="1"/>
      <w:marLeft w:val="0"/>
      <w:marRight w:val="0"/>
      <w:marTop w:val="0"/>
      <w:marBottom w:val="0"/>
      <w:divBdr>
        <w:top w:val="none" w:sz="0" w:space="0" w:color="auto"/>
        <w:left w:val="none" w:sz="0" w:space="0" w:color="auto"/>
        <w:bottom w:val="none" w:sz="0" w:space="0" w:color="auto"/>
        <w:right w:val="none" w:sz="0" w:space="0" w:color="auto"/>
      </w:divBdr>
    </w:div>
    <w:div w:id="219556244">
      <w:bodyDiv w:val="1"/>
      <w:marLeft w:val="0"/>
      <w:marRight w:val="0"/>
      <w:marTop w:val="0"/>
      <w:marBottom w:val="0"/>
      <w:divBdr>
        <w:top w:val="none" w:sz="0" w:space="0" w:color="auto"/>
        <w:left w:val="none" w:sz="0" w:space="0" w:color="auto"/>
        <w:bottom w:val="none" w:sz="0" w:space="0" w:color="auto"/>
        <w:right w:val="none" w:sz="0" w:space="0" w:color="auto"/>
      </w:divBdr>
    </w:div>
    <w:div w:id="224530264">
      <w:bodyDiv w:val="1"/>
      <w:marLeft w:val="0"/>
      <w:marRight w:val="0"/>
      <w:marTop w:val="0"/>
      <w:marBottom w:val="0"/>
      <w:divBdr>
        <w:top w:val="none" w:sz="0" w:space="0" w:color="auto"/>
        <w:left w:val="none" w:sz="0" w:space="0" w:color="auto"/>
        <w:bottom w:val="none" w:sz="0" w:space="0" w:color="auto"/>
        <w:right w:val="none" w:sz="0" w:space="0" w:color="auto"/>
      </w:divBdr>
    </w:div>
    <w:div w:id="232276136">
      <w:bodyDiv w:val="1"/>
      <w:marLeft w:val="0"/>
      <w:marRight w:val="0"/>
      <w:marTop w:val="0"/>
      <w:marBottom w:val="0"/>
      <w:divBdr>
        <w:top w:val="none" w:sz="0" w:space="0" w:color="auto"/>
        <w:left w:val="none" w:sz="0" w:space="0" w:color="auto"/>
        <w:bottom w:val="none" w:sz="0" w:space="0" w:color="auto"/>
        <w:right w:val="none" w:sz="0" w:space="0" w:color="auto"/>
      </w:divBdr>
    </w:div>
    <w:div w:id="238901944">
      <w:bodyDiv w:val="1"/>
      <w:marLeft w:val="0"/>
      <w:marRight w:val="0"/>
      <w:marTop w:val="0"/>
      <w:marBottom w:val="0"/>
      <w:divBdr>
        <w:top w:val="none" w:sz="0" w:space="0" w:color="auto"/>
        <w:left w:val="none" w:sz="0" w:space="0" w:color="auto"/>
        <w:bottom w:val="none" w:sz="0" w:space="0" w:color="auto"/>
        <w:right w:val="none" w:sz="0" w:space="0" w:color="auto"/>
      </w:divBdr>
    </w:div>
    <w:div w:id="244531146">
      <w:bodyDiv w:val="1"/>
      <w:marLeft w:val="0"/>
      <w:marRight w:val="0"/>
      <w:marTop w:val="0"/>
      <w:marBottom w:val="0"/>
      <w:divBdr>
        <w:top w:val="none" w:sz="0" w:space="0" w:color="auto"/>
        <w:left w:val="none" w:sz="0" w:space="0" w:color="auto"/>
        <w:bottom w:val="none" w:sz="0" w:space="0" w:color="auto"/>
        <w:right w:val="none" w:sz="0" w:space="0" w:color="auto"/>
      </w:divBdr>
    </w:div>
    <w:div w:id="256983110">
      <w:bodyDiv w:val="1"/>
      <w:marLeft w:val="0"/>
      <w:marRight w:val="0"/>
      <w:marTop w:val="0"/>
      <w:marBottom w:val="0"/>
      <w:divBdr>
        <w:top w:val="none" w:sz="0" w:space="0" w:color="auto"/>
        <w:left w:val="none" w:sz="0" w:space="0" w:color="auto"/>
        <w:bottom w:val="none" w:sz="0" w:space="0" w:color="auto"/>
        <w:right w:val="none" w:sz="0" w:space="0" w:color="auto"/>
      </w:divBdr>
    </w:div>
    <w:div w:id="259685886">
      <w:bodyDiv w:val="1"/>
      <w:marLeft w:val="0"/>
      <w:marRight w:val="0"/>
      <w:marTop w:val="0"/>
      <w:marBottom w:val="0"/>
      <w:divBdr>
        <w:top w:val="none" w:sz="0" w:space="0" w:color="auto"/>
        <w:left w:val="none" w:sz="0" w:space="0" w:color="auto"/>
        <w:bottom w:val="none" w:sz="0" w:space="0" w:color="auto"/>
        <w:right w:val="none" w:sz="0" w:space="0" w:color="auto"/>
      </w:divBdr>
    </w:div>
    <w:div w:id="260072127">
      <w:bodyDiv w:val="1"/>
      <w:marLeft w:val="0"/>
      <w:marRight w:val="0"/>
      <w:marTop w:val="0"/>
      <w:marBottom w:val="0"/>
      <w:divBdr>
        <w:top w:val="none" w:sz="0" w:space="0" w:color="auto"/>
        <w:left w:val="none" w:sz="0" w:space="0" w:color="auto"/>
        <w:bottom w:val="none" w:sz="0" w:space="0" w:color="auto"/>
        <w:right w:val="none" w:sz="0" w:space="0" w:color="auto"/>
      </w:divBdr>
    </w:div>
    <w:div w:id="262808347">
      <w:bodyDiv w:val="1"/>
      <w:marLeft w:val="0"/>
      <w:marRight w:val="0"/>
      <w:marTop w:val="0"/>
      <w:marBottom w:val="0"/>
      <w:divBdr>
        <w:top w:val="none" w:sz="0" w:space="0" w:color="auto"/>
        <w:left w:val="none" w:sz="0" w:space="0" w:color="auto"/>
        <w:bottom w:val="none" w:sz="0" w:space="0" w:color="auto"/>
        <w:right w:val="none" w:sz="0" w:space="0" w:color="auto"/>
      </w:divBdr>
    </w:div>
    <w:div w:id="265231844">
      <w:bodyDiv w:val="1"/>
      <w:marLeft w:val="0"/>
      <w:marRight w:val="0"/>
      <w:marTop w:val="0"/>
      <w:marBottom w:val="0"/>
      <w:divBdr>
        <w:top w:val="none" w:sz="0" w:space="0" w:color="auto"/>
        <w:left w:val="none" w:sz="0" w:space="0" w:color="auto"/>
        <w:bottom w:val="none" w:sz="0" w:space="0" w:color="auto"/>
        <w:right w:val="none" w:sz="0" w:space="0" w:color="auto"/>
      </w:divBdr>
    </w:div>
    <w:div w:id="277030051">
      <w:bodyDiv w:val="1"/>
      <w:marLeft w:val="0"/>
      <w:marRight w:val="0"/>
      <w:marTop w:val="0"/>
      <w:marBottom w:val="0"/>
      <w:divBdr>
        <w:top w:val="none" w:sz="0" w:space="0" w:color="auto"/>
        <w:left w:val="none" w:sz="0" w:space="0" w:color="auto"/>
        <w:bottom w:val="none" w:sz="0" w:space="0" w:color="auto"/>
        <w:right w:val="none" w:sz="0" w:space="0" w:color="auto"/>
      </w:divBdr>
    </w:div>
    <w:div w:id="281423726">
      <w:bodyDiv w:val="1"/>
      <w:marLeft w:val="0"/>
      <w:marRight w:val="0"/>
      <w:marTop w:val="0"/>
      <w:marBottom w:val="0"/>
      <w:divBdr>
        <w:top w:val="none" w:sz="0" w:space="0" w:color="auto"/>
        <w:left w:val="none" w:sz="0" w:space="0" w:color="auto"/>
        <w:bottom w:val="none" w:sz="0" w:space="0" w:color="auto"/>
        <w:right w:val="none" w:sz="0" w:space="0" w:color="auto"/>
      </w:divBdr>
    </w:div>
    <w:div w:id="289479993">
      <w:bodyDiv w:val="1"/>
      <w:marLeft w:val="0"/>
      <w:marRight w:val="0"/>
      <w:marTop w:val="0"/>
      <w:marBottom w:val="0"/>
      <w:divBdr>
        <w:top w:val="none" w:sz="0" w:space="0" w:color="auto"/>
        <w:left w:val="none" w:sz="0" w:space="0" w:color="auto"/>
        <w:bottom w:val="none" w:sz="0" w:space="0" w:color="auto"/>
        <w:right w:val="none" w:sz="0" w:space="0" w:color="auto"/>
      </w:divBdr>
    </w:div>
    <w:div w:id="310522204">
      <w:bodyDiv w:val="1"/>
      <w:marLeft w:val="0"/>
      <w:marRight w:val="0"/>
      <w:marTop w:val="0"/>
      <w:marBottom w:val="0"/>
      <w:divBdr>
        <w:top w:val="none" w:sz="0" w:space="0" w:color="auto"/>
        <w:left w:val="none" w:sz="0" w:space="0" w:color="auto"/>
        <w:bottom w:val="none" w:sz="0" w:space="0" w:color="auto"/>
        <w:right w:val="none" w:sz="0" w:space="0" w:color="auto"/>
      </w:divBdr>
    </w:div>
    <w:div w:id="312219041">
      <w:bodyDiv w:val="1"/>
      <w:marLeft w:val="0"/>
      <w:marRight w:val="0"/>
      <w:marTop w:val="0"/>
      <w:marBottom w:val="0"/>
      <w:divBdr>
        <w:top w:val="none" w:sz="0" w:space="0" w:color="auto"/>
        <w:left w:val="none" w:sz="0" w:space="0" w:color="auto"/>
        <w:bottom w:val="none" w:sz="0" w:space="0" w:color="auto"/>
        <w:right w:val="none" w:sz="0" w:space="0" w:color="auto"/>
      </w:divBdr>
    </w:div>
    <w:div w:id="317879865">
      <w:bodyDiv w:val="1"/>
      <w:marLeft w:val="0"/>
      <w:marRight w:val="0"/>
      <w:marTop w:val="0"/>
      <w:marBottom w:val="0"/>
      <w:divBdr>
        <w:top w:val="none" w:sz="0" w:space="0" w:color="auto"/>
        <w:left w:val="none" w:sz="0" w:space="0" w:color="auto"/>
        <w:bottom w:val="none" w:sz="0" w:space="0" w:color="auto"/>
        <w:right w:val="none" w:sz="0" w:space="0" w:color="auto"/>
      </w:divBdr>
    </w:div>
    <w:div w:id="319041786">
      <w:bodyDiv w:val="1"/>
      <w:marLeft w:val="0"/>
      <w:marRight w:val="0"/>
      <w:marTop w:val="0"/>
      <w:marBottom w:val="0"/>
      <w:divBdr>
        <w:top w:val="none" w:sz="0" w:space="0" w:color="auto"/>
        <w:left w:val="none" w:sz="0" w:space="0" w:color="auto"/>
        <w:bottom w:val="none" w:sz="0" w:space="0" w:color="auto"/>
        <w:right w:val="none" w:sz="0" w:space="0" w:color="auto"/>
      </w:divBdr>
    </w:div>
    <w:div w:id="319624945">
      <w:bodyDiv w:val="1"/>
      <w:marLeft w:val="0"/>
      <w:marRight w:val="0"/>
      <w:marTop w:val="0"/>
      <w:marBottom w:val="0"/>
      <w:divBdr>
        <w:top w:val="none" w:sz="0" w:space="0" w:color="auto"/>
        <w:left w:val="none" w:sz="0" w:space="0" w:color="auto"/>
        <w:bottom w:val="none" w:sz="0" w:space="0" w:color="auto"/>
        <w:right w:val="none" w:sz="0" w:space="0" w:color="auto"/>
      </w:divBdr>
    </w:div>
    <w:div w:id="329142611">
      <w:bodyDiv w:val="1"/>
      <w:marLeft w:val="0"/>
      <w:marRight w:val="0"/>
      <w:marTop w:val="0"/>
      <w:marBottom w:val="0"/>
      <w:divBdr>
        <w:top w:val="none" w:sz="0" w:space="0" w:color="auto"/>
        <w:left w:val="none" w:sz="0" w:space="0" w:color="auto"/>
        <w:bottom w:val="none" w:sz="0" w:space="0" w:color="auto"/>
        <w:right w:val="none" w:sz="0" w:space="0" w:color="auto"/>
      </w:divBdr>
    </w:div>
    <w:div w:id="351346426">
      <w:bodyDiv w:val="1"/>
      <w:marLeft w:val="0"/>
      <w:marRight w:val="0"/>
      <w:marTop w:val="0"/>
      <w:marBottom w:val="0"/>
      <w:divBdr>
        <w:top w:val="none" w:sz="0" w:space="0" w:color="auto"/>
        <w:left w:val="none" w:sz="0" w:space="0" w:color="auto"/>
        <w:bottom w:val="none" w:sz="0" w:space="0" w:color="auto"/>
        <w:right w:val="none" w:sz="0" w:space="0" w:color="auto"/>
      </w:divBdr>
    </w:div>
    <w:div w:id="359283978">
      <w:bodyDiv w:val="1"/>
      <w:marLeft w:val="0"/>
      <w:marRight w:val="0"/>
      <w:marTop w:val="0"/>
      <w:marBottom w:val="0"/>
      <w:divBdr>
        <w:top w:val="none" w:sz="0" w:space="0" w:color="auto"/>
        <w:left w:val="none" w:sz="0" w:space="0" w:color="auto"/>
        <w:bottom w:val="none" w:sz="0" w:space="0" w:color="auto"/>
        <w:right w:val="none" w:sz="0" w:space="0" w:color="auto"/>
      </w:divBdr>
    </w:div>
    <w:div w:id="363948330">
      <w:bodyDiv w:val="1"/>
      <w:marLeft w:val="0"/>
      <w:marRight w:val="0"/>
      <w:marTop w:val="0"/>
      <w:marBottom w:val="0"/>
      <w:divBdr>
        <w:top w:val="none" w:sz="0" w:space="0" w:color="auto"/>
        <w:left w:val="none" w:sz="0" w:space="0" w:color="auto"/>
        <w:bottom w:val="none" w:sz="0" w:space="0" w:color="auto"/>
        <w:right w:val="none" w:sz="0" w:space="0" w:color="auto"/>
      </w:divBdr>
    </w:div>
    <w:div w:id="367605116">
      <w:bodyDiv w:val="1"/>
      <w:marLeft w:val="0"/>
      <w:marRight w:val="0"/>
      <w:marTop w:val="0"/>
      <w:marBottom w:val="0"/>
      <w:divBdr>
        <w:top w:val="none" w:sz="0" w:space="0" w:color="auto"/>
        <w:left w:val="none" w:sz="0" w:space="0" w:color="auto"/>
        <w:bottom w:val="none" w:sz="0" w:space="0" w:color="auto"/>
        <w:right w:val="none" w:sz="0" w:space="0" w:color="auto"/>
      </w:divBdr>
    </w:div>
    <w:div w:id="404307548">
      <w:bodyDiv w:val="1"/>
      <w:marLeft w:val="0"/>
      <w:marRight w:val="0"/>
      <w:marTop w:val="0"/>
      <w:marBottom w:val="0"/>
      <w:divBdr>
        <w:top w:val="none" w:sz="0" w:space="0" w:color="auto"/>
        <w:left w:val="none" w:sz="0" w:space="0" w:color="auto"/>
        <w:bottom w:val="none" w:sz="0" w:space="0" w:color="auto"/>
        <w:right w:val="none" w:sz="0" w:space="0" w:color="auto"/>
      </w:divBdr>
    </w:div>
    <w:div w:id="423376479">
      <w:bodyDiv w:val="1"/>
      <w:marLeft w:val="0"/>
      <w:marRight w:val="0"/>
      <w:marTop w:val="0"/>
      <w:marBottom w:val="0"/>
      <w:divBdr>
        <w:top w:val="none" w:sz="0" w:space="0" w:color="auto"/>
        <w:left w:val="none" w:sz="0" w:space="0" w:color="auto"/>
        <w:bottom w:val="none" w:sz="0" w:space="0" w:color="auto"/>
        <w:right w:val="none" w:sz="0" w:space="0" w:color="auto"/>
      </w:divBdr>
    </w:div>
    <w:div w:id="437262942">
      <w:bodyDiv w:val="1"/>
      <w:marLeft w:val="0"/>
      <w:marRight w:val="0"/>
      <w:marTop w:val="0"/>
      <w:marBottom w:val="0"/>
      <w:divBdr>
        <w:top w:val="none" w:sz="0" w:space="0" w:color="auto"/>
        <w:left w:val="none" w:sz="0" w:space="0" w:color="auto"/>
        <w:bottom w:val="none" w:sz="0" w:space="0" w:color="auto"/>
        <w:right w:val="none" w:sz="0" w:space="0" w:color="auto"/>
      </w:divBdr>
    </w:div>
    <w:div w:id="444689344">
      <w:bodyDiv w:val="1"/>
      <w:marLeft w:val="0"/>
      <w:marRight w:val="0"/>
      <w:marTop w:val="0"/>
      <w:marBottom w:val="0"/>
      <w:divBdr>
        <w:top w:val="none" w:sz="0" w:space="0" w:color="auto"/>
        <w:left w:val="none" w:sz="0" w:space="0" w:color="auto"/>
        <w:bottom w:val="none" w:sz="0" w:space="0" w:color="auto"/>
        <w:right w:val="none" w:sz="0" w:space="0" w:color="auto"/>
      </w:divBdr>
    </w:div>
    <w:div w:id="465664793">
      <w:bodyDiv w:val="1"/>
      <w:marLeft w:val="0"/>
      <w:marRight w:val="0"/>
      <w:marTop w:val="0"/>
      <w:marBottom w:val="0"/>
      <w:divBdr>
        <w:top w:val="none" w:sz="0" w:space="0" w:color="auto"/>
        <w:left w:val="none" w:sz="0" w:space="0" w:color="auto"/>
        <w:bottom w:val="none" w:sz="0" w:space="0" w:color="auto"/>
        <w:right w:val="none" w:sz="0" w:space="0" w:color="auto"/>
      </w:divBdr>
    </w:div>
    <w:div w:id="470295264">
      <w:bodyDiv w:val="1"/>
      <w:marLeft w:val="0"/>
      <w:marRight w:val="0"/>
      <w:marTop w:val="0"/>
      <w:marBottom w:val="0"/>
      <w:divBdr>
        <w:top w:val="none" w:sz="0" w:space="0" w:color="auto"/>
        <w:left w:val="none" w:sz="0" w:space="0" w:color="auto"/>
        <w:bottom w:val="none" w:sz="0" w:space="0" w:color="auto"/>
        <w:right w:val="none" w:sz="0" w:space="0" w:color="auto"/>
      </w:divBdr>
    </w:div>
    <w:div w:id="489562060">
      <w:bodyDiv w:val="1"/>
      <w:marLeft w:val="0"/>
      <w:marRight w:val="0"/>
      <w:marTop w:val="0"/>
      <w:marBottom w:val="0"/>
      <w:divBdr>
        <w:top w:val="none" w:sz="0" w:space="0" w:color="auto"/>
        <w:left w:val="none" w:sz="0" w:space="0" w:color="auto"/>
        <w:bottom w:val="none" w:sz="0" w:space="0" w:color="auto"/>
        <w:right w:val="none" w:sz="0" w:space="0" w:color="auto"/>
      </w:divBdr>
    </w:div>
    <w:div w:id="491486322">
      <w:bodyDiv w:val="1"/>
      <w:marLeft w:val="0"/>
      <w:marRight w:val="0"/>
      <w:marTop w:val="0"/>
      <w:marBottom w:val="0"/>
      <w:divBdr>
        <w:top w:val="none" w:sz="0" w:space="0" w:color="auto"/>
        <w:left w:val="none" w:sz="0" w:space="0" w:color="auto"/>
        <w:bottom w:val="none" w:sz="0" w:space="0" w:color="auto"/>
        <w:right w:val="none" w:sz="0" w:space="0" w:color="auto"/>
      </w:divBdr>
    </w:div>
    <w:div w:id="513224063">
      <w:bodyDiv w:val="1"/>
      <w:marLeft w:val="0"/>
      <w:marRight w:val="0"/>
      <w:marTop w:val="0"/>
      <w:marBottom w:val="0"/>
      <w:divBdr>
        <w:top w:val="none" w:sz="0" w:space="0" w:color="auto"/>
        <w:left w:val="none" w:sz="0" w:space="0" w:color="auto"/>
        <w:bottom w:val="none" w:sz="0" w:space="0" w:color="auto"/>
        <w:right w:val="none" w:sz="0" w:space="0" w:color="auto"/>
      </w:divBdr>
    </w:div>
    <w:div w:id="520628220">
      <w:bodyDiv w:val="1"/>
      <w:marLeft w:val="0"/>
      <w:marRight w:val="0"/>
      <w:marTop w:val="0"/>
      <w:marBottom w:val="0"/>
      <w:divBdr>
        <w:top w:val="none" w:sz="0" w:space="0" w:color="auto"/>
        <w:left w:val="none" w:sz="0" w:space="0" w:color="auto"/>
        <w:bottom w:val="none" w:sz="0" w:space="0" w:color="auto"/>
        <w:right w:val="none" w:sz="0" w:space="0" w:color="auto"/>
      </w:divBdr>
    </w:div>
    <w:div w:id="522479063">
      <w:bodyDiv w:val="1"/>
      <w:marLeft w:val="0"/>
      <w:marRight w:val="0"/>
      <w:marTop w:val="0"/>
      <w:marBottom w:val="0"/>
      <w:divBdr>
        <w:top w:val="none" w:sz="0" w:space="0" w:color="auto"/>
        <w:left w:val="none" w:sz="0" w:space="0" w:color="auto"/>
        <w:bottom w:val="none" w:sz="0" w:space="0" w:color="auto"/>
        <w:right w:val="none" w:sz="0" w:space="0" w:color="auto"/>
      </w:divBdr>
    </w:div>
    <w:div w:id="523206071">
      <w:bodyDiv w:val="1"/>
      <w:marLeft w:val="0"/>
      <w:marRight w:val="0"/>
      <w:marTop w:val="0"/>
      <w:marBottom w:val="0"/>
      <w:divBdr>
        <w:top w:val="none" w:sz="0" w:space="0" w:color="auto"/>
        <w:left w:val="none" w:sz="0" w:space="0" w:color="auto"/>
        <w:bottom w:val="none" w:sz="0" w:space="0" w:color="auto"/>
        <w:right w:val="none" w:sz="0" w:space="0" w:color="auto"/>
      </w:divBdr>
    </w:div>
    <w:div w:id="527332236">
      <w:bodyDiv w:val="1"/>
      <w:marLeft w:val="0"/>
      <w:marRight w:val="0"/>
      <w:marTop w:val="0"/>
      <w:marBottom w:val="0"/>
      <w:divBdr>
        <w:top w:val="none" w:sz="0" w:space="0" w:color="auto"/>
        <w:left w:val="none" w:sz="0" w:space="0" w:color="auto"/>
        <w:bottom w:val="none" w:sz="0" w:space="0" w:color="auto"/>
        <w:right w:val="none" w:sz="0" w:space="0" w:color="auto"/>
      </w:divBdr>
    </w:div>
    <w:div w:id="547182468">
      <w:bodyDiv w:val="1"/>
      <w:marLeft w:val="0"/>
      <w:marRight w:val="0"/>
      <w:marTop w:val="0"/>
      <w:marBottom w:val="0"/>
      <w:divBdr>
        <w:top w:val="none" w:sz="0" w:space="0" w:color="auto"/>
        <w:left w:val="none" w:sz="0" w:space="0" w:color="auto"/>
        <w:bottom w:val="none" w:sz="0" w:space="0" w:color="auto"/>
        <w:right w:val="none" w:sz="0" w:space="0" w:color="auto"/>
      </w:divBdr>
    </w:div>
    <w:div w:id="555048800">
      <w:bodyDiv w:val="1"/>
      <w:marLeft w:val="0"/>
      <w:marRight w:val="0"/>
      <w:marTop w:val="0"/>
      <w:marBottom w:val="0"/>
      <w:divBdr>
        <w:top w:val="none" w:sz="0" w:space="0" w:color="auto"/>
        <w:left w:val="none" w:sz="0" w:space="0" w:color="auto"/>
        <w:bottom w:val="none" w:sz="0" w:space="0" w:color="auto"/>
        <w:right w:val="none" w:sz="0" w:space="0" w:color="auto"/>
      </w:divBdr>
    </w:div>
    <w:div w:id="558828257">
      <w:bodyDiv w:val="1"/>
      <w:marLeft w:val="0"/>
      <w:marRight w:val="0"/>
      <w:marTop w:val="0"/>
      <w:marBottom w:val="0"/>
      <w:divBdr>
        <w:top w:val="none" w:sz="0" w:space="0" w:color="auto"/>
        <w:left w:val="none" w:sz="0" w:space="0" w:color="auto"/>
        <w:bottom w:val="none" w:sz="0" w:space="0" w:color="auto"/>
        <w:right w:val="none" w:sz="0" w:space="0" w:color="auto"/>
      </w:divBdr>
    </w:div>
    <w:div w:id="562569173">
      <w:bodyDiv w:val="1"/>
      <w:marLeft w:val="0"/>
      <w:marRight w:val="0"/>
      <w:marTop w:val="0"/>
      <w:marBottom w:val="0"/>
      <w:divBdr>
        <w:top w:val="none" w:sz="0" w:space="0" w:color="auto"/>
        <w:left w:val="none" w:sz="0" w:space="0" w:color="auto"/>
        <w:bottom w:val="none" w:sz="0" w:space="0" w:color="auto"/>
        <w:right w:val="none" w:sz="0" w:space="0" w:color="auto"/>
      </w:divBdr>
    </w:div>
    <w:div w:id="568462101">
      <w:bodyDiv w:val="1"/>
      <w:marLeft w:val="0"/>
      <w:marRight w:val="0"/>
      <w:marTop w:val="0"/>
      <w:marBottom w:val="0"/>
      <w:divBdr>
        <w:top w:val="none" w:sz="0" w:space="0" w:color="auto"/>
        <w:left w:val="none" w:sz="0" w:space="0" w:color="auto"/>
        <w:bottom w:val="none" w:sz="0" w:space="0" w:color="auto"/>
        <w:right w:val="none" w:sz="0" w:space="0" w:color="auto"/>
      </w:divBdr>
    </w:div>
    <w:div w:id="583881081">
      <w:bodyDiv w:val="1"/>
      <w:marLeft w:val="0"/>
      <w:marRight w:val="0"/>
      <w:marTop w:val="0"/>
      <w:marBottom w:val="0"/>
      <w:divBdr>
        <w:top w:val="none" w:sz="0" w:space="0" w:color="auto"/>
        <w:left w:val="none" w:sz="0" w:space="0" w:color="auto"/>
        <w:bottom w:val="none" w:sz="0" w:space="0" w:color="auto"/>
        <w:right w:val="none" w:sz="0" w:space="0" w:color="auto"/>
      </w:divBdr>
    </w:div>
    <w:div w:id="597173292">
      <w:bodyDiv w:val="1"/>
      <w:marLeft w:val="0"/>
      <w:marRight w:val="0"/>
      <w:marTop w:val="0"/>
      <w:marBottom w:val="0"/>
      <w:divBdr>
        <w:top w:val="none" w:sz="0" w:space="0" w:color="auto"/>
        <w:left w:val="none" w:sz="0" w:space="0" w:color="auto"/>
        <w:bottom w:val="none" w:sz="0" w:space="0" w:color="auto"/>
        <w:right w:val="none" w:sz="0" w:space="0" w:color="auto"/>
      </w:divBdr>
    </w:div>
    <w:div w:id="598564496">
      <w:bodyDiv w:val="1"/>
      <w:marLeft w:val="0"/>
      <w:marRight w:val="0"/>
      <w:marTop w:val="0"/>
      <w:marBottom w:val="0"/>
      <w:divBdr>
        <w:top w:val="none" w:sz="0" w:space="0" w:color="auto"/>
        <w:left w:val="none" w:sz="0" w:space="0" w:color="auto"/>
        <w:bottom w:val="none" w:sz="0" w:space="0" w:color="auto"/>
        <w:right w:val="none" w:sz="0" w:space="0" w:color="auto"/>
      </w:divBdr>
    </w:div>
    <w:div w:id="607737794">
      <w:bodyDiv w:val="1"/>
      <w:marLeft w:val="0"/>
      <w:marRight w:val="0"/>
      <w:marTop w:val="0"/>
      <w:marBottom w:val="0"/>
      <w:divBdr>
        <w:top w:val="none" w:sz="0" w:space="0" w:color="auto"/>
        <w:left w:val="none" w:sz="0" w:space="0" w:color="auto"/>
        <w:bottom w:val="none" w:sz="0" w:space="0" w:color="auto"/>
        <w:right w:val="none" w:sz="0" w:space="0" w:color="auto"/>
      </w:divBdr>
    </w:div>
    <w:div w:id="611745601">
      <w:bodyDiv w:val="1"/>
      <w:marLeft w:val="0"/>
      <w:marRight w:val="0"/>
      <w:marTop w:val="0"/>
      <w:marBottom w:val="0"/>
      <w:divBdr>
        <w:top w:val="none" w:sz="0" w:space="0" w:color="auto"/>
        <w:left w:val="none" w:sz="0" w:space="0" w:color="auto"/>
        <w:bottom w:val="none" w:sz="0" w:space="0" w:color="auto"/>
        <w:right w:val="none" w:sz="0" w:space="0" w:color="auto"/>
      </w:divBdr>
    </w:div>
    <w:div w:id="618343194">
      <w:bodyDiv w:val="1"/>
      <w:marLeft w:val="0"/>
      <w:marRight w:val="0"/>
      <w:marTop w:val="0"/>
      <w:marBottom w:val="0"/>
      <w:divBdr>
        <w:top w:val="none" w:sz="0" w:space="0" w:color="auto"/>
        <w:left w:val="none" w:sz="0" w:space="0" w:color="auto"/>
        <w:bottom w:val="none" w:sz="0" w:space="0" w:color="auto"/>
        <w:right w:val="none" w:sz="0" w:space="0" w:color="auto"/>
      </w:divBdr>
    </w:div>
    <w:div w:id="650599816">
      <w:bodyDiv w:val="1"/>
      <w:marLeft w:val="0"/>
      <w:marRight w:val="0"/>
      <w:marTop w:val="0"/>
      <w:marBottom w:val="0"/>
      <w:divBdr>
        <w:top w:val="none" w:sz="0" w:space="0" w:color="auto"/>
        <w:left w:val="none" w:sz="0" w:space="0" w:color="auto"/>
        <w:bottom w:val="none" w:sz="0" w:space="0" w:color="auto"/>
        <w:right w:val="none" w:sz="0" w:space="0" w:color="auto"/>
      </w:divBdr>
    </w:div>
    <w:div w:id="651178746">
      <w:bodyDiv w:val="1"/>
      <w:marLeft w:val="0"/>
      <w:marRight w:val="0"/>
      <w:marTop w:val="0"/>
      <w:marBottom w:val="0"/>
      <w:divBdr>
        <w:top w:val="none" w:sz="0" w:space="0" w:color="auto"/>
        <w:left w:val="none" w:sz="0" w:space="0" w:color="auto"/>
        <w:bottom w:val="none" w:sz="0" w:space="0" w:color="auto"/>
        <w:right w:val="none" w:sz="0" w:space="0" w:color="auto"/>
      </w:divBdr>
    </w:div>
    <w:div w:id="653023081">
      <w:bodyDiv w:val="1"/>
      <w:marLeft w:val="0"/>
      <w:marRight w:val="0"/>
      <w:marTop w:val="0"/>
      <w:marBottom w:val="0"/>
      <w:divBdr>
        <w:top w:val="none" w:sz="0" w:space="0" w:color="auto"/>
        <w:left w:val="none" w:sz="0" w:space="0" w:color="auto"/>
        <w:bottom w:val="none" w:sz="0" w:space="0" w:color="auto"/>
        <w:right w:val="none" w:sz="0" w:space="0" w:color="auto"/>
      </w:divBdr>
    </w:div>
    <w:div w:id="653685409">
      <w:bodyDiv w:val="1"/>
      <w:marLeft w:val="0"/>
      <w:marRight w:val="0"/>
      <w:marTop w:val="0"/>
      <w:marBottom w:val="0"/>
      <w:divBdr>
        <w:top w:val="none" w:sz="0" w:space="0" w:color="auto"/>
        <w:left w:val="none" w:sz="0" w:space="0" w:color="auto"/>
        <w:bottom w:val="none" w:sz="0" w:space="0" w:color="auto"/>
        <w:right w:val="none" w:sz="0" w:space="0" w:color="auto"/>
      </w:divBdr>
    </w:div>
    <w:div w:id="655568455">
      <w:bodyDiv w:val="1"/>
      <w:marLeft w:val="0"/>
      <w:marRight w:val="0"/>
      <w:marTop w:val="0"/>
      <w:marBottom w:val="0"/>
      <w:divBdr>
        <w:top w:val="none" w:sz="0" w:space="0" w:color="auto"/>
        <w:left w:val="none" w:sz="0" w:space="0" w:color="auto"/>
        <w:bottom w:val="none" w:sz="0" w:space="0" w:color="auto"/>
        <w:right w:val="none" w:sz="0" w:space="0" w:color="auto"/>
      </w:divBdr>
    </w:div>
    <w:div w:id="656157086">
      <w:bodyDiv w:val="1"/>
      <w:marLeft w:val="0"/>
      <w:marRight w:val="0"/>
      <w:marTop w:val="0"/>
      <w:marBottom w:val="0"/>
      <w:divBdr>
        <w:top w:val="none" w:sz="0" w:space="0" w:color="auto"/>
        <w:left w:val="none" w:sz="0" w:space="0" w:color="auto"/>
        <w:bottom w:val="none" w:sz="0" w:space="0" w:color="auto"/>
        <w:right w:val="none" w:sz="0" w:space="0" w:color="auto"/>
      </w:divBdr>
    </w:div>
    <w:div w:id="657341535">
      <w:bodyDiv w:val="1"/>
      <w:marLeft w:val="0"/>
      <w:marRight w:val="0"/>
      <w:marTop w:val="0"/>
      <w:marBottom w:val="0"/>
      <w:divBdr>
        <w:top w:val="none" w:sz="0" w:space="0" w:color="auto"/>
        <w:left w:val="none" w:sz="0" w:space="0" w:color="auto"/>
        <w:bottom w:val="none" w:sz="0" w:space="0" w:color="auto"/>
        <w:right w:val="none" w:sz="0" w:space="0" w:color="auto"/>
      </w:divBdr>
    </w:div>
    <w:div w:id="671833374">
      <w:bodyDiv w:val="1"/>
      <w:marLeft w:val="0"/>
      <w:marRight w:val="0"/>
      <w:marTop w:val="0"/>
      <w:marBottom w:val="0"/>
      <w:divBdr>
        <w:top w:val="none" w:sz="0" w:space="0" w:color="auto"/>
        <w:left w:val="none" w:sz="0" w:space="0" w:color="auto"/>
        <w:bottom w:val="none" w:sz="0" w:space="0" w:color="auto"/>
        <w:right w:val="none" w:sz="0" w:space="0" w:color="auto"/>
      </w:divBdr>
    </w:div>
    <w:div w:id="676427624">
      <w:bodyDiv w:val="1"/>
      <w:marLeft w:val="0"/>
      <w:marRight w:val="0"/>
      <w:marTop w:val="0"/>
      <w:marBottom w:val="0"/>
      <w:divBdr>
        <w:top w:val="none" w:sz="0" w:space="0" w:color="auto"/>
        <w:left w:val="none" w:sz="0" w:space="0" w:color="auto"/>
        <w:bottom w:val="none" w:sz="0" w:space="0" w:color="auto"/>
        <w:right w:val="none" w:sz="0" w:space="0" w:color="auto"/>
      </w:divBdr>
    </w:div>
    <w:div w:id="699400200">
      <w:bodyDiv w:val="1"/>
      <w:marLeft w:val="0"/>
      <w:marRight w:val="0"/>
      <w:marTop w:val="0"/>
      <w:marBottom w:val="0"/>
      <w:divBdr>
        <w:top w:val="none" w:sz="0" w:space="0" w:color="auto"/>
        <w:left w:val="none" w:sz="0" w:space="0" w:color="auto"/>
        <w:bottom w:val="none" w:sz="0" w:space="0" w:color="auto"/>
        <w:right w:val="none" w:sz="0" w:space="0" w:color="auto"/>
      </w:divBdr>
    </w:div>
    <w:div w:id="708801896">
      <w:bodyDiv w:val="1"/>
      <w:marLeft w:val="0"/>
      <w:marRight w:val="0"/>
      <w:marTop w:val="0"/>
      <w:marBottom w:val="0"/>
      <w:divBdr>
        <w:top w:val="none" w:sz="0" w:space="0" w:color="auto"/>
        <w:left w:val="none" w:sz="0" w:space="0" w:color="auto"/>
        <w:bottom w:val="none" w:sz="0" w:space="0" w:color="auto"/>
        <w:right w:val="none" w:sz="0" w:space="0" w:color="auto"/>
      </w:divBdr>
    </w:div>
    <w:div w:id="711420798">
      <w:bodyDiv w:val="1"/>
      <w:marLeft w:val="0"/>
      <w:marRight w:val="0"/>
      <w:marTop w:val="0"/>
      <w:marBottom w:val="0"/>
      <w:divBdr>
        <w:top w:val="none" w:sz="0" w:space="0" w:color="auto"/>
        <w:left w:val="none" w:sz="0" w:space="0" w:color="auto"/>
        <w:bottom w:val="none" w:sz="0" w:space="0" w:color="auto"/>
        <w:right w:val="none" w:sz="0" w:space="0" w:color="auto"/>
      </w:divBdr>
    </w:div>
    <w:div w:id="713316140">
      <w:bodyDiv w:val="1"/>
      <w:marLeft w:val="0"/>
      <w:marRight w:val="0"/>
      <w:marTop w:val="0"/>
      <w:marBottom w:val="0"/>
      <w:divBdr>
        <w:top w:val="none" w:sz="0" w:space="0" w:color="auto"/>
        <w:left w:val="none" w:sz="0" w:space="0" w:color="auto"/>
        <w:bottom w:val="none" w:sz="0" w:space="0" w:color="auto"/>
        <w:right w:val="none" w:sz="0" w:space="0" w:color="auto"/>
      </w:divBdr>
    </w:div>
    <w:div w:id="730736588">
      <w:bodyDiv w:val="1"/>
      <w:marLeft w:val="0"/>
      <w:marRight w:val="0"/>
      <w:marTop w:val="0"/>
      <w:marBottom w:val="0"/>
      <w:divBdr>
        <w:top w:val="none" w:sz="0" w:space="0" w:color="auto"/>
        <w:left w:val="none" w:sz="0" w:space="0" w:color="auto"/>
        <w:bottom w:val="none" w:sz="0" w:space="0" w:color="auto"/>
        <w:right w:val="none" w:sz="0" w:space="0" w:color="auto"/>
      </w:divBdr>
    </w:div>
    <w:div w:id="732971837">
      <w:bodyDiv w:val="1"/>
      <w:marLeft w:val="0"/>
      <w:marRight w:val="0"/>
      <w:marTop w:val="0"/>
      <w:marBottom w:val="0"/>
      <w:divBdr>
        <w:top w:val="none" w:sz="0" w:space="0" w:color="auto"/>
        <w:left w:val="none" w:sz="0" w:space="0" w:color="auto"/>
        <w:bottom w:val="none" w:sz="0" w:space="0" w:color="auto"/>
        <w:right w:val="none" w:sz="0" w:space="0" w:color="auto"/>
      </w:divBdr>
    </w:div>
    <w:div w:id="733623876">
      <w:bodyDiv w:val="1"/>
      <w:marLeft w:val="0"/>
      <w:marRight w:val="0"/>
      <w:marTop w:val="0"/>
      <w:marBottom w:val="0"/>
      <w:divBdr>
        <w:top w:val="none" w:sz="0" w:space="0" w:color="auto"/>
        <w:left w:val="none" w:sz="0" w:space="0" w:color="auto"/>
        <w:bottom w:val="none" w:sz="0" w:space="0" w:color="auto"/>
        <w:right w:val="none" w:sz="0" w:space="0" w:color="auto"/>
      </w:divBdr>
    </w:div>
    <w:div w:id="748695817">
      <w:bodyDiv w:val="1"/>
      <w:marLeft w:val="0"/>
      <w:marRight w:val="0"/>
      <w:marTop w:val="0"/>
      <w:marBottom w:val="0"/>
      <w:divBdr>
        <w:top w:val="none" w:sz="0" w:space="0" w:color="auto"/>
        <w:left w:val="none" w:sz="0" w:space="0" w:color="auto"/>
        <w:bottom w:val="none" w:sz="0" w:space="0" w:color="auto"/>
        <w:right w:val="none" w:sz="0" w:space="0" w:color="auto"/>
      </w:divBdr>
    </w:div>
    <w:div w:id="753627756">
      <w:bodyDiv w:val="1"/>
      <w:marLeft w:val="0"/>
      <w:marRight w:val="0"/>
      <w:marTop w:val="0"/>
      <w:marBottom w:val="0"/>
      <w:divBdr>
        <w:top w:val="none" w:sz="0" w:space="0" w:color="auto"/>
        <w:left w:val="none" w:sz="0" w:space="0" w:color="auto"/>
        <w:bottom w:val="none" w:sz="0" w:space="0" w:color="auto"/>
        <w:right w:val="none" w:sz="0" w:space="0" w:color="auto"/>
      </w:divBdr>
    </w:div>
    <w:div w:id="755126391">
      <w:bodyDiv w:val="1"/>
      <w:marLeft w:val="0"/>
      <w:marRight w:val="0"/>
      <w:marTop w:val="0"/>
      <w:marBottom w:val="0"/>
      <w:divBdr>
        <w:top w:val="none" w:sz="0" w:space="0" w:color="auto"/>
        <w:left w:val="none" w:sz="0" w:space="0" w:color="auto"/>
        <w:bottom w:val="none" w:sz="0" w:space="0" w:color="auto"/>
        <w:right w:val="none" w:sz="0" w:space="0" w:color="auto"/>
      </w:divBdr>
    </w:div>
    <w:div w:id="755326017">
      <w:bodyDiv w:val="1"/>
      <w:marLeft w:val="0"/>
      <w:marRight w:val="0"/>
      <w:marTop w:val="0"/>
      <w:marBottom w:val="0"/>
      <w:divBdr>
        <w:top w:val="none" w:sz="0" w:space="0" w:color="auto"/>
        <w:left w:val="none" w:sz="0" w:space="0" w:color="auto"/>
        <w:bottom w:val="none" w:sz="0" w:space="0" w:color="auto"/>
        <w:right w:val="none" w:sz="0" w:space="0" w:color="auto"/>
      </w:divBdr>
    </w:div>
    <w:div w:id="758405695">
      <w:bodyDiv w:val="1"/>
      <w:marLeft w:val="0"/>
      <w:marRight w:val="0"/>
      <w:marTop w:val="0"/>
      <w:marBottom w:val="0"/>
      <w:divBdr>
        <w:top w:val="none" w:sz="0" w:space="0" w:color="auto"/>
        <w:left w:val="none" w:sz="0" w:space="0" w:color="auto"/>
        <w:bottom w:val="none" w:sz="0" w:space="0" w:color="auto"/>
        <w:right w:val="none" w:sz="0" w:space="0" w:color="auto"/>
      </w:divBdr>
    </w:div>
    <w:div w:id="758872985">
      <w:bodyDiv w:val="1"/>
      <w:marLeft w:val="0"/>
      <w:marRight w:val="0"/>
      <w:marTop w:val="0"/>
      <w:marBottom w:val="0"/>
      <w:divBdr>
        <w:top w:val="none" w:sz="0" w:space="0" w:color="auto"/>
        <w:left w:val="none" w:sz="0" w:space="0" w:color="auto"/>
        <w:bottom w:val="none" w:sz="0" w:space="0" w:color="auto"/>
        <w:right w:val="none" w:sz="0" w:space="0" w:color="auto"/>
      </w:divBdr>
    </w:div>
    <w:div w:id="760758199">
      <w:bodyDiv w:val="1"/>
      <w:marLeft w:val="0"/>
      <w:marRight w:val="0"/>
      <w:marTop w:val="0"/>
      <w:marBottom w:val="0"/>
      <w:divBdr>
        <w:top w:val="none" w:sz="0" w:space="0" w:color="auto"/>
        <w:left w:val="none" w:sz="0" w:space="0" w:color="auto"/>
        <w:bottom w:val="none" w:sz="0" w:space="0" w:color="auto"/>
        <w:right w:val="none" w:sz="0" w:space="0" w:color="auto"/>
      </w:divBdr>
    </w:div>
    <w:div w:id="764571429">
      <w:bodyDiv w:val="1"/>
      <w:marLeft w:val="0"/>
      <w:marRight w:val="0"/>
      <w:marTop w:val="0"/>
      <w:marBottom w:val="0"/>
      <w:divBdr>
        <w:top w:val="none" w:sz="0" w:space="0" w:color="auto"/>
        <w:left w:val="none" w:sz="0" w:space="0" w:color="auto"/>
        <w:bottom w:val="none" w:sz="0" w:space="0" w:color="auto"/>
        <w:right w:val="none" w:sz="0" w:space="0" w:color="auto"/>
      </w:divBdr>
    </w:div>
    <w:div w:id="777022512">
      <w:bodyDiv w:val="1"/>
      <w:marLeft w:val="0"/>
      <w:marRight w:val="0"/>
      <w:marTop w:val="0"/>
      <w:marBottom w:val="0"/>
      <w:divBdr>
        <w:top w:val="none" w:sz="0" w:space="0" w:color="auto"/>
        <w:left w:val="none" w:sz="0" w:space="0" w:color="auto"/>
        <w:bottom w:val="none" w:sz="0" w:space="0" w:color="auto"/>
        <w:right w:val="none" w:sz="0" w:space="0" w:color="auto"/>
      </w:divBdr>
    </w:div>
    <w:div w:id="802579770">
      <w:bodyDiv w:val="1"/>
      <w:marLeft w:val="0"/>
      <w:marRight w:val="0"/>
      <w:marTop w:val="0"/>
      <w:marBottom w:val="0"/>
      <w:divBdr>
        <w:top w:val="none" w:sz="0" w:space="0" w:color="auto"/>
        <w:left w:val="none" w:sz="0" w:space="0" w:color="auto"/>
        <w:bottom w:val="none" w:sz="0" w:space="0" w:color="auto"/>
        <w:right w:val="none" w:sz="0" w:space="0" w:color="auto"/>
      </w:divBdr>
    </w:div>
    <w:div w:id="807236511">
      <w:bodyDiv w:val="1"/>
      <w:marLeft w:val="0"/>
      <w:marRight w:val="0"/>
      <w:marTop w:val="0"/>
      <w:marBottom w:val="0"/>
      <w:divBdr>
        <w:top w:val="none" w:sz="0" w:space="0" w:color="auto"/>
        <w:left w:val="none" w:sz="0" w:space="0" w:color="auto"/>
        <w:bottom w:val="none" w:sz="0" w:space="0" w:color="auto"/>
        <w:right w:val="none" w:sz="0" w:space="0" w:color="auto"/>
      </w:divBdr>
    </w:div>
    <w:div w:id="810631908">
      <w:bodyDiv w:val="1"/>
      <w:marLeft w:val="0"/>
      <w:marRight w:val="0"/>
      <w:marTop w:val="0"/>
      <w:marBottom w:val="0"/>
      <w:divBdr>
        <w:top w:val="none" w:sz="0" w:space="0" w:color="auto"/>
        <w:left w:val="none" w:sz="0" w:space="0" w:color="auto"/>
        <w:bottom w:val="none" w:sz="0" w:space="0" w:color="auto"/>
        <w:right w:val="none" w:sz="0" w:space="0" w:color="auto"/>
      </w:divBdr>
    </w:div>
    <w:div w:id="836506094">
      <w:bodyDiv w:val="1"/>
      <w:marLeft w:val="0"/>
      <w:marRight w:val="0"/>
      <w:marTop w:val="0"/>
      <w:marBottom w:val="0"/>
      <w:divBdr>
        <w:top w:val="none" w:sz="0" w:space="0" w:color="auto"/>
        <w:left w:val="none" w:sz="0" w:space="0" w:color="auto"/>
        <w:bottom w:val="none" w:sz="0" w:space="0" w:color="auto"/>
        <w:right w:val="none" w:sz="0" w:space="0" w:color="auto"/>
      </w:divBdr>
    </w:div>
    <w:div w:id="840781977">
      <w:bodyDiv w:val="1"/>
      <w:marLeft w:val="0"/>
      <w:marRight w:val="0"/>
      <w:marTop w:val="0"/>
      <w:marBottom w:val="0"/>
      <w:divBdr>
        <w:top w:val="none" w:sz="0" w:space="0" w:color="auto"/>
        <w:left w:val="none" w:sz="0" w:space="0" w:color="auto"/>
        <w:bottom w:val="none" w:sz="0" w:space="0" w:color="auto"/>
        <w:right w:val="none" w:sz="0" w:space="0" w:color="auto"/>
      </w:divBdr>
    </w:div>
    <w:div w:id="851182355">
      <w:bodyDiv w:val="1"/>
      <w:marLeft w:val="0"/>
      <w:marRight w:val="0"/>
      <w:marTop w:val="0"/>
      <w:marBottom w:val="0"/>
      <w:divBdr>
        <w:top w:val="none" w:sz="0" w:space="0" w:color="auto"/>
        <w:left w:val="none" w:sz="0" w:space="0" w:color="auto"/>
        <w:bottom w:val="none" w:sz="0" w:space="0" w:color="auto"/>
        <w:right w:val="none" w:sz="0" w:space="0" w:color="auto"/>
      </w:divBdr>
    </w:div>
    <w:div w:id="851839869">
      <w:bodyDiv w:val="1"/>
      <w:marLeft w:val="0"/>
      <w:marRight w:val="0"/>
      <w:marTop w:val="0"/>
      <w:marBottom w:val="0"/>
      <w:divBdr>
        <w:top w:val="none" w:sz="0" w:space="0" w:color="auto"/>
        <w:left w:val="none" w:sz="0" w:space="0" w:color="auto"/>
        <w:bottom w:val="none" w:sz="0" w:space="0" w:color="auto"/>
        <w:right w:val="none" w:sz="0" w:space="0" w:color="auto"/>
      </w:divBdr>
    </w:div>
    <w:div w:id="857887514">
      <w:bodyDiv w:val="1"/>
      <w:marLeft w:val="0"/>
      <w:marRight w:val="0"/>
      <w:marTop w:val="0"/>
      <w:marBottom w:val="0"/>
      <w:divBdr>
        <w:top w:val="none" w:sz="0" w:space="0" w:color="auto"/>
        <w:left w:val="none" w:sz="0" w:space="0" w:color="auto"/>
        <w:bottom w:val="none" w:sz="0" w:space="0" w:color="auto"/>
        <w:right w:val="none" w:sz="0" w:space="0" w:color="auto"/>
      </w:divBdr>
    </w:div>
    <w:div w:id="857933958">
      <w:bodyDiv w:val="1"/>
      <w:marLeft w:val="0"/>
      <w:marRight w:val="0"/>
      <w:marTop w:val="0"/>
      <w:marBottom w:val="0"/>
      <w:divBdr>
        <w:top w:val="none" w:sz="0" w:space="0" w:color="auto"/>
        <w:left w:val="none" w:sz="0" w:space="0" w:color="auto"/>
        <w:bottom w:val="none" w:sz="0" w:space="0" w:color="auto"/>
        <w:right w:val="none" w:sz="0" w:space="0" w:color="auto"/>
      </w:divBdr>
    </w:div>
    <w:div w:id="862089618">
      <w:bodyDiv w:val="1"/>
      <w:marLeft w:val="0"/>
      <w:marRight w:val="0"/>
      <w:marTop w:val="0"/>
      <w:marBottom w:val="0"/>
      <w:divBdr>
        <w:top w:val="none" w:sz="0" w:space="0" w:color="auto"/>
        <w:left w:val="none" w:sz="0" w:space="0" w:color="auto"/>
        <w:bottom w:val="none" w:sz="0" w:space="0" w:color="auto"/>
        <w:right w:val="none" w:sz="0" w:space="0" w:color="auto"/>
      </w:divBdr>
    </w:div>
    <w:div w:id="871190449">
      <w:bodyDiv w:val="1"/>
      <w:marLeft w:val="0"/>
      <w:marRight w:val="0"/>
      <w:marTop w:val="0"/>
      <w:marBottom w:val="0"/>
      <w:divBdr>
        <w:top w:val="none" w:sz="0" w:space="0" w:color="auto"/>
        <w:left w:val="none" w:sz="0" w:space="0" w:color="auto"/>
        <w:bottom w:val="none" w:sz="0" w:space="0" w:color="auto"/>
        <w:right w:val="none" w:sz="0" w:space="0" w:color="auto"/>
      </w:divBdr>
    </w:div>
    <w:div w:id="876703392">
      <w:bodyDiv w:val="1"/>
      <w:marLeft w:val="0"/>
      <w:marRight w:val="0"/>
      <w:marTop w:val="0"/>
      <w:marBottom w:val="0"/>
      <w:divBdr>
        <w:top w:val="none" w:sz="0" w:space="0" w:color="auto"/>
        <w:left w:val="none" w:sz="0" w:space="0" w:color="auto"/>
        <w:bottom w:val="none" w:sz="0" w:space="0" w:color="auto"/>
        <w:right w:val="none" w:sz="0" w:space="0" w:color="auto"/>
      </w:divBdr>
    </w:div>
    <w:div w:id="892695193">
      <w:bodyDiv w:val="1"/>
      <w:marLeft w:val="0"/>
      <w:marRight w:val="0"/>
      <w:marTop w:val="0"/>
      <w:marBottom w:val="0"/>
      <w:divBdr>
        <w:top w:val="none" w:sz="0" w:space="0" w:color="auto"/>
        <w:left w:val="none" w:sz="0" w:space="0" w:color="auto"/>
        <w:bottom w:val="none" w:sz="0" w:space="0" w:color="auto"/>
        <w:right w:val="none" w:sz="0" w:space="0" w:color="auto"/>
      </w:divBdr>
    </w:div>
    <w:div w:id="907307570">
      <w:bodyDiv w:val="1"/>
      <w:marLeft w:val="0"/>
      <w:marRight w:val="0"/>
      <w:marTop w:val="0"/>
      <w:marBottom w:val="0"/>
      <w:divBdr>
        <w:top w:val="none" w:sz="0" w:space="0" w:color="auto"/>
        <w:left w:val="none" w:sz="0" w:space="0" w:color="auto"/>
        <w:bottom w:val="none" w:sz="0" w:space="0" w:color="auto"/>
        <w:right w:val="none" w:sz="0" w:space="0" w:color="auto"/>
      </w:divBdr>
    </w:div>
    <w:div w:id="907497319">
      <w:bodyDiv w:val="1"/>
      <w:marLeft w:val="0"/>
      <w:marRight w:val="0"/>
      <w:marTop w:val="0"/>
      <w:marBottom w:val="0"/>
      <w:divBdr>
        <w:top w:val="none" w:sz="0" w:space="0" w:color="auto"/>
        <w:left w:val="none" w:sz="0" w:space="0" w:color="auto"/>
        <w:bottom w:val="none" w:sz="0" w:space="0" w:color="auto"/>
        <w:right w:val="none" w:sz="0" w:space="0" w:color="auto"/>
      </w:divBdr>
    </w:div>
    <w:div w:id="911114237">
      <w:bodyDiv w:val="1"/>
      <w:marLeft w:val="0"/>
      <w:marRight w:val="0"/>
      <w:marTop w:val="0"/>
      <w:marBottom w:val="0"/>
      <w:divBdr>
        <w:top w:val="none" w:sz="0" w:space="0" w:color="auto"/>
        <w:left w:val="none" w:sz="0" w:space="0" w:color="auto"/>
        <w:bottom w:val="none" w:sz="0" w:space="0" w:color="auto"/>
        <w:right w:val="none" w:sz="0" w:space="0" w:color="auto"/>
      </w:divBdr>
    </w:div>
    <w:div w:id="912852977">
      <w:bodyDiv w:val="1"/>
      <w:marLeft w:val="0"/>
      <w:marRight w:val="0"/>
      <w:marTop w:val="0"/>
      <w:marBottom w:val="0"/>
      <w:divBdr>
        <w:top w:val="none" w:sz="0" w:space="0" w:color="auto"/>
        <w:left w:val="none" w:sz="0" w:space="0" w:color="auto"/>
        <w:bottom w:val="none" w:sz="0" w:space="0" w:color="auto"/>
        <w:right w:val="none" w:sz="0" w:space="0" w:color="auto"/>
      </w:divBdr>
    </w:div>
    <w:div w:id="922573002">
      <w:bodyDiv w:val="1"/>
      <w:marLeft w:val="0"/>
      <w:marRight w:val="0"/>
      <w:marTop w:val="0"/>
      <w:marBottom w:val="0"/>
      <w:divBdr>
        <w:top w:val="none" w:sz="0" w:space="0" w:color="auto"/>
        <w:left w:val="none" w:sz="0" w:space="0" w:color="auto"/>
        <w:bottom w:val="none" w:sz="0" w:space="0" w:color="auto"/>
        <w:right w:val="none" w:sz="0" w:space="0" w:color="auto"/>
      </w:divBdr>
    </w:div>
    <w:div w:id="932398185">
      <w:bodyDiv w:val="1"/>
      <w:marLeft w:val="0"/>
      <w:marRight w:val="0"/>
      <w:marTop w:val="0"/>
      <w:marBottom w:val="0"/>
      <w:divBdr>
        <w:top w:val="none" w:sz="0" w:space="0" w:color="auto"/>
        <w:left w:val="none" w:sz="0" w:space="0" w:color="auto"/>
        <w:bottom w:val="none" w:sz="0" w:space="0" w:color="auto"/>
        <w:right w:val="none" w:sz="0" w:space="0" w:color="auto"/>
      </w:divBdr>
    </w:div>
    <w:div w:id="933241251">
      <w:bodyDiv w:val="1"/>
      <w:marLeft w:val="0"/>
      <w:marRight w:val="0"/>
      <w:marTop w:val="0"/>
      <w:marBottom w:val="0"/>
      <w:divBdr>
        <w:top w:val="none" w:sz="0" w:space="0" w:color="auto"/>
        <w:left w:val="none" w:sz="0" w:space="0" w:color="auto"/>
        <w:bottom w:val="none" w:sz="0" w:space="0" w:color="auto"/>
        <w:right w:val="none" w:sz="0" w:space="0" w:color="auto"/>
      </w:divBdr>
    </w:div>
    <w:div w:id="938610967">
      <w:bodyDiv w:val="1"/>
      <w:marLeft w:val="0"/>
      <w:marRight w:val="0"/>
      <w:marTop w:val="0"/>
      <w:marBottom w:val="0"/>
      <w:divBdr>
        <w:top w:val="none" w:sz="0" w:space="0" w:color="auto"/>
        <w:left w:val="none" w:sz="0" w:space="0" w:color="auto"/>
        <w:bottom w:val="none" w:sz="0" w:space="0" w:color="auto"/>
        <w:right w:val="none" w:sz="0" w:space="0" w:color="auto"/>
      </w:divBdr>
    </w:div>
    <w:div w:id="963775640">
      <w:bodyDiv w:val="1"/>
      <w:marLeft w:val="0"/>
      <w:marRight w:val="0"/>
      <w:marTop w:val="0"/>
      <w:marBottom w:val="0"/>
      <w:divBdr>
        <w:top w:val="none" w:sz="0" w:space="0" w:color="auto"/>
        <w:left w:val="none" w:sz="0" w:space="0" w:color="auto"/>
        <w:bottom w:val="none" w:sz="0" w:space="0" w:color="auto"/>
        <w:right w:val="none" w:sz="0" w:space="0" w:color="auto"/>
      </w:divBdr>
    </w:div>
    <w:div w:id="968972116">
      <w:bodyDiv w:val="1"/>
      <w:marLeft w:val="0"/>
      <w:marRight w:val="0"/>
      <w:marTop w:val="0"/>
      <w:marBottom w:val="0"/>
      <w:divBdr>
        <w:top w:val="none" w:sz="0" w:space="0" w:color="auto"/>
        <w:left w:val="none" w:sz="0" w:space="0" w:color="auto"/>
        <w:bottom w:val="none" w:sz="0" w:space="0" w:color="auto"/>
        <w:right w:val="none" w:sz="0" w:space="0" w:color="auto"/>
      </w:divBdr>
    </w:div>
    <w:div w:id="975260215">
      <w:bodyDiv w:val="1"/>
      <w:marLeft w:val="0"/>
      <w:marRight w:val="0"/>
      <w:marTop w:val="0"/>
      <w:marBottom w:val="0"/>
      <w:divBdr>
        <w:top w:val="none" w:sz="0" w:space="0" w:color="auto"/>
        <w:left w:val="none" w:sz="0" w:space="0" w:color="auto"/>
        <w:bottom w:val="none" w:sz="0" w:space="0" w:color="auto"/>
        <w:right w:val="none" w:sz="0" w:space="0" w:color="auto"/>
      </w:divBdr>
    </w:div>
    <w:div w:id="977959817">
      <w:bodyDiv w:val="1"/>
      <w:marLeft w:val="0"/>
      <w:marRight w:val="0"/>
      <w:marTop w:val="0"/>
      <w:marBottom w:val="0"/>
      <w:divBdr>
        <w:top w:val="none" w:sz="0" w:space="0" w:color="auto"/>
        <w:left w:val="none" w:sz="0" w:space="0" w:color="auto"/>
        <w:bottom w:val="none" w:sz="0" w:space="0" w:color="auto"/>
        <w:right w:val="none" w:sz="0" w:space="0" w:color="auto"/>
      </w:divBdr>
    </w:div>
    <w:div w:id="1007563389">
      <w:bodyDiv w:val="1"/>
      <w:marLeft w:val="0"/>
      <w:marRight w:val="0"/>
      <w:marTop w:val="0"/>
      <w:marBottom w:val="0"/>
      <w:divBdr>
        <w:top w:val="none" w:sz="0" w:space="0" w:color="auto"/>
        <w:left w:val="none" w:sz="0" w:space="0" w:color="auto"/>
        <w:bottom w:val="none" w:sz="0" w:space="0" w:color="auto"/>
        <w:right w:val="none" w:sz="0" w:space="0" w:color="auto"/>
      </w:divBdr>
    </w:div>
    <w:div w:id="1012997571">
      <w:bodyDiv w:val="1"/>
      <w:marLeft w:val="0"/>
      <w:marRight w:val="0"/>
      <w:marTop w:val="0"/>
      <w:marBottom w:val="0"/>
      <w:divBdr>
        <w:top w:val="none" w:sz="0" w:space="0" w:color="auto"/>
        <w:left w:val="none" w:sz="0" w:space="0" w:color="auto"/>
        <w:bottom w:val="none" w:sz="0" w:space="0" w:color="auto"/>
        <w:right w:val="none" w:sz="0" w:space="0" w:color="auto"/>
      </w:divBdr>
    </w:div>
    <w:div w:id="1016661733">
      <w:bodyDiv w:val="1"/>
      <w:marLeft w:val="0"/>
      <w:marRight w:val="0"/>
      <w:marTop w:val="0"/>
      <w:marBottom w:val="0"/>
      <w:divBdr>
        <w:top w:val="none" w:sz="0" w:space="0" w:color="auto"/>
        <w:left w:val="none" w:sz="0" w:space="0" w:color="auto"/>
        <w:bottom w:val="none" w:sz="0" w:space="0" w:color="auto"/>
        <w:right w:val="none" w:sz="0" w:space="0" w:color="auto"/>
      </w:divBdr>
    </w:div>
    <w:div w:id="1018628504">
      <w:bodyDiv w:val="1"/>
      <w:marLeft w:val="0"/>
      <w:marRight w:val="0"/>
      <w:marTop w:val="0"/>
      <w:marBottom w:val="0"/>
      <w:divBdr>
        <w:top w:val="none" w:sz="0" w:space="0" w:color="auto"/>
        <w:left w:val="none" w:sz="0" w:space="0" w:color="auto"/>
        <w:bottom w:val="none" w:sz="0" w:space="0" w:color="auto"/>
        <w:right w:val="none" w:sz="0" w:space="0" w:color="auto"/>
      </w:divBdr>
    </w:div>
    <w:div w:id="1022123935">
      <w:bodyDiv w:val="1"/>
      <w:marLeft w:val="0"/>
      <w:marRight w:val="0"/>
      <w:marTop w:val="0"/>
      <w:marBottom w:val="0"/>
      <w:divBdr>
        <w:top w:val="none" w:sz="0" w:space="0" w:color="auto"/>
        <w:left w:val="none" w:sz="0" w:space="0" w:color="auto"/>
        <w:bottom w:val="none" w:sz="0" w:space="0" w:color="auto"/>
        <w:right w:val="none" w:sz="0" w:space="0" w:color="auto"/>
      </w:divBdr>
    </w:div>
    <w:div w:id="1024593232">
      <w:bodyDiv w:val="1"/>
      <w:marLeft w:val="0"/>
      <w:marRight w:val="0"/>
      <w:marTop w:val="0"/>
      <w:marBottom w:val="0"/>
      <w:divBdr>
        <w:top w:val="none" w:sz="0" w:space="0" w:color="auto"/>
        <w:left w:val="none" w:sz="0" w:space="0" w:color="auto"/>
        <w:bottom w:val="none" w:sz="0" w:space="0" w:color="auto"/>
        <w:right w:val="none" w:sz="0" w:space="0" w:color="auto"/>
      </w:divBdr>
    </w:div>
    <w:div w:id="1034381829">
      <w:bodyDiv w:val="1"/>
      <w:marLeft w:val="0"/>
      <w:marRight w:val="0"/>
      <w:marTop w:val="0"/>
      <w:marBottom w:val="0"/>
      <w:divBdr>
        <w:top w:val="none" w:sz="0" w:space="0" w:color="auto"/>
        <w:left w:val="none" w:sz="0" w:space="0" w:color="auto"/>
        <w:bottom w:val="none" w:sz="0" w:space="0" w:color="auto"/>
        <w:right w:val="none" w:sz="0" w:space="0" w:color="auto"/>
      </w:divBdr>
    </w:div>
    <w:div w:id="1038554313">
      <w:bodyDiv w:val="1"/>
      <w:marLeft w:val="0"/>
      <w:marRight w:val="0"/>
      <w:marTop w:val="0"/>
      <w:marBottom w:val="0"/>
      <w:divBdr>
        <w:top w:val="none" w:sz="0" w:space="0" w:color="auto"/>
        <w:left w:val="none" w:sz="0" w:space="0" w:color="auto"/>
        <w:bottom w:val="none" w:sz="0" w:space="0" w:color="auto"/>
        <w:right w:val="none" w:sz="0" w:space="0" w:color="auto"/>
      </w:divBdr>
    </w:div>
    <w:div w:id="1058670887">
      <w:bodyDiv w:val="1"/>
      <w:marLeft w:val="0"/>
      <w:marRight w:val="0"/>
      <w:marTop w:val="0"/>
      <w:marBottom w:val="0"/>
      <w:divBdr>
        <w:top w:val="none" w:sz="0" w:space="0" w:color="auto"/>
        <w:left w:val="none" w:sz="0" w:space="0" w:color="auto"/>
        <w:bottom w:val="none" w:sz="0" w:space="0" w:color="auto"/>
        <w:right w:val="none" w:sz="0" w:space="0" w:color="auto"/>
      </w:divBdr>
    </w:div>
    <w:div w:id="1063721735">
      <w:bodyDiv w:val="1"/>
      <w:marLeft w:val="0"/>
      <w:marRight w:val="0"/>
      <w:marTop w:val="0"/>
      <w:marBottom w:val="0"/>
      <w:divBdr>
        <w:top w:val="none" w:sz="0" w:space="0" w:color="auto"/>
        <w:left w:val="none" w:sz="0" w:space="0" w:color="auto"/>
        <w:bottom w:val="none" w:sz="0" w:space="0" w:color="auto"/>
        <w:right w:val="none" w:sz="0" w:space="0" w:color="auto"/>
      </w:divBdr>
    </w:div>
    <w:div w:id="1066489698">
      <w:bodyDiv w:val="1"/>
      <w:marLeft w:val="0"/>
      <w:marRight w:val="0"/>
      <w:marTop w:val="0"/>
      <w:marBottom w:val="0"/>
      <w:divBdr>
        <w:top w:val="none" w:sz="0" w:space="0" w:color="auto"/>
        <w:left w:val="none" w:sz="0" w:space="0" w:color="auto"/>
        <w:bottom w:val="none" w:sz="0" w:space="0" w:color="auto"/>
        <w:right w:val="none" w:sz="0" w:space="0" w:color="auto"/>
      </w:divBdr>
    </w:div>
    <w:div w:id="1078164109">
      <w:bodyDiv w:val="1"/>
      <w:marLeft w:val="0"/>
      <w:marRight w:val="0"/>
      <w:marTop w:val="0"/>
      <w:marBottom w:val="0"/>
      <w:divBdr>
        <w:top w:val="none" w:sz="0" w:space="0" w:color="auto"/>
        <w:left w:val="none" w:sz="0" w:space="0" w:color="auto"/>
        <w:bottom w:val="none" w:sz="0" w:space="0" w:color="auto"/>
        <w:right w:val="none" w:sz="0" w:space="0" w:color="auto"/>
      </w:divBdr>
    </w:div>
    <w:div w:id="1081027952">
      <w:bodyDiv w:val="1"/>
      <w:marLeft w:val="0"/>
      <w:marRight w:val="0"/>
      <w:marTop w:val="0"/>
      <w:marBottom w:val="0"/>
      <w:divBdr>
        <w:top w:val="none" w:sz="0" w:space="0" w:color="auto"/>
        <w:left w:val="none" w:sz="0" w:space="0" w:color="auto"/>
        <w:bottom w:val="none" w:sz="0" w:space="0" w:color="auto"/>
        <w:right w:val="none" w:sz="0" w:space="0" w:color="auto"/>
      </w:divBdr>
    </w:div>
    <w:div w:id="1082411885">
      <w:bodyDiv w:val="1"/>
      <w:marLeft w:val="0"/>
      <w:marRight w:val="0"/>
      <w:marTop w:val="0"/>
      <w:marBottom w:val="0"/>
      <w:divBdr>
        <w:top w:val="none" w:sz="0" w:space="0" w:color="auto"/>
        <w:left w:val="none" w:sz="0" w:space="0" w:color="auto"/>
        <w:bottom w:val="none" w:sz="0" w:space="0" w:color="auto"/>
        <w:right w:val="none" w:sz="0" w:space="0" w:color="auto"/>
      </w:divBdr>
    </w:div>
    <w:div w:id="1084379590">
      <w:bodyDiv w:val="1"/>
      <w:marLeft w:val="0"/>
      <w:marRight w:val="0"/>
      <w:marTop w:val="0"/>
      <w:marBottom w:val="0"/>
      <w:divBdr>
        <w:top w:val="none" w:sz="0" w:space="0" w:color="auto"/>
        <w:left w:val="none" w:sz="0" w:space="0" w:color="auto"/>
        <w:bottom w:val="none" w:sz="0" w:space="0" w:color="auto"/>
        <w:right w:val="none" w:sz="0" w:space="0" w:color="auto"/>
      </w:divBdr>
    </w:div>
    <w:div w:id="1093166292">
      <w:bodyDiv w:val="1"/>
      <w:marLeft w:val="0"/>
      <w:marRight w:val="0"/>
      <w:marTop w:val="0"/>
      <w:marBottom w:val="0"/>
      <w:divBdr>
        <w:top w:val="none" w:sz="0" w:space="0" w:color="auto"/>
        <w:left w:val="none" w:sz="0" w:space="0" w:color="auto"/>
        <w:bottom w:val="none" w:sz="0" w:space="0" w:color="auto"/>
        <w:right w:val="none" w:sz="0" w:space="0" w:color="auto"/>
      </w:divBdr>
    </w:div>
    <w:div w:id="1093474655">
      <w:bodyDiv w:val="1"/>
      <w:marLeft w:val="0"/>
      <w:marRight w:val="0"/>
      <w:marTop w:val="0"/>
      <w:marBottom w:val="0"/>
      <w:divBdr>
        <w:top w:val="none" w:sz="0" w:space="0" w:color="auto"/>
        <w:left w:val="none" w:sz="0" w:space="0" w:color="auto"/>
        <w:bottom w:val="none" w:sz="0" w:space="0" w:color="auto"/>
        <w:right w:val="none" w:sz="0" w:space="0" w:color="auto"/>
      </w:divBdr>
    </w:div>
    <w:div w:id="1096750513">
      <w:bodyDiv w:val="1"/>
      <w:marLeft w:val="0"/>
      <w:marRight w:val="0"/>
      <w:marTop w:val="0"/>
      <w:marBottom w:val="0"/>
      <w:divBdr>
        <w:top w:val="none" w:sz="0" w:space="0" w:color="auto"/>
        <w:left w:val="none" w:sz="0" w:space="0" w:color="auto"/>
        <w:bottom w:val="none" w:sz="0" w:space="0" w:color="auto"/>
        <w:right w:val="none" w:sz="0" w:space="0" w:color="auto"/>
      </w:divBdr>
    </w:div>
    <w:div w:id="1117531896">
      <w:bodyDiv w:val="1"/>
      <w:marLeft w:val="0"/>
      <w:marRight w:val="0"/>
      <w:marTop w:val="0"/>
      <w:marBottom w:val="0"/>
      <w:divBdr>
        <w:top w:val="none" w:sz="0" w:space="0" w:color="auto"/>
        <w:left w:val="none" w:sz="0" w:space="0" w:color="auto"/>
        <w:bottom w:val="none" w:sz="0" w:space="0" w:color="auto"/>
        <w:right w:val="none" w:sz="0" w:space="0" w:color="auto"/>
      </w:divBdr>
    </w:div>
    <w:div w:id="1125002807">
      <w:bodyDiv w:val="1"/>
      <w:marLeft w:val="0"/>
      <w:marRight w:val="0"/>
      <w:marTop w:val="0"/>
      <w:marBottom w:val="0"/>
      <w:divBdr>
        <w:top w:val="none" w:sz="0" w:space="0" w:color="auto"/>
        <w:left w:val="none" w:sz="0" w:space="0" w:color="auto"/>
        <w:bottom w:val="none" w:sz="0" w:space="0" w:color="auto"/>
        <w:right w:val="none" w:sz="0" w:space="0" w:color="auto"/>
      </w:divBdr>
    </w:div>
    <w:div w:id="1131900477">
      <w:bodyDiv w:val="1"/>
      <w:marLeft w:val="0"/>
      <w:marRight w:val="0"/>
      <w:marTop w:val="0"/>
      <w:marBottom w:val="0"/>
      <w:divBdr>
        <w:top w:val="none" w:sz="0" w:space="0" w:color="auto"/>
        <w:left w:val="none" w:sz="0" w:space="0" w:color="auto"/>
        <w:bottom w:val="none" w:sz="0" w:space="0" w:color="auto"/>
        <w:right w:val="none" w:sz="0" w:space="0" w:color="auto"/>
      </w:divBdr>
    </w:div>
    <w:div w:id="1136722175">
      <w:bodyDiv w:val="1"/>
      <w:marLeft w:val="0"/>
      <w:marRight w:val="0"/>
      <w:marTop w:val="0"/>
      <w:marBottom w:val="0"/>
      <w:divBdr>
        <w:top w:val="none" w:sz="0" w:space="0" w:color="auto"/>
        <w:left w:val="none" w:sz="0" w:space="0" w:color="auto"/>
        <w:bottom w:val="none" w:sz="0" w:space="0" w:color="auto"/>
        <w:right w:val="none" w:sz="0" w:space="0" w:color="auto"/>
      </w:divBdr>
    </w:div>
    <w:div w:id="1141996650">
      <w:bodyDiv w:val="1"/>
      <w:marLeft w:val="0"/>
      <w:marRight w:val="0"/>
      <w:marTop w:val="0"/>
      <w:marBottom w:val="0"/>
      <w:divBdr>
        <w:top w:val="none" w:sz="0" w:space="0" w:color="auto"/>
        <w:left w:val="none" w:sz="0" w:space="0" w:color="auto"/>
        <w:bottom w:val="none" w:sz="0" w:space="0" w:color="auto"/>
        <w:right w:val="none" w:sz="0" w:space="0" w:color="auto"/>
      </w:divBdr>
    </w:div>
    <w:div w:id="1145513027">
      <w:bodyDiv w:val="1"/>
      <w:marLeft w:val="0"/>
      <w:marRight w:val="0"/>
      <w:marTop w:val="0"/>
      <w:marBottom w:val="0"/>
      <w:divBdr>
        <w:top w:val="none" w:sz="0" w:space="0" w:color="auto"/>
        <w:left w:val="none" w:sz="0" w:space="0" w:color="auto"/>
        <w:bottom w:val="none" w:sz="0" w:space="0" w:color="auto"/>
        <w:right w:val="none" w:sz="0" w:space="0" w:color="auto"/>
      </w:divBdr>
    </w:div>
    <w:div w:id="1150899102">
      <w:bodyDiv w:val="1"/>
      <w:marLeft w:val="0"/>
      <w:marRight w:val="0"/>
      <w:marTop w:val="0"/>
      <w:marBottom w:val="0"/>
      <w:divBdr>
        <w:top w:val="none" w:sz="0" w:space="0" w:color="auto"/>
        <w:left w:val="none" w:sz="0" w:space="0" w:color="auto"/>
        <w:bottom w:val="none" w:sz="0" w:space="0" w:color="auto"/>
        <w:right w:val="none" w:sz="0" w:space="0" w:color="auto"/>
      </w:divBdr>
    </w:div>
    <w:div w:id="1167594172">
      <w:bodyDiv w:val="1"/>
      <w:marLeft w:val="0"/>
      <w:marRight w:val="0"/>
      <w:marTop w:val="0"/>
      <w:marBottom w:val="0"/>
      <w:divBdr>
        <w:top w:val="none" w:sz="0" w:space="0" w:color="auto"/>
        <w:left w:val="none" w:sz="0" w:space="0" w:color="auto"/>
        <w:bottom w:val="none" w:sz="0" w:space="0" w:color="auto"/>
        <w:right w:val="none" w:sz="0" w:space="0" w:color="auto"/>
      </w:divBdr>
    </w:div>
    <w:div w:id="1168979368">
      <w:bodyDiv w:val="1"/>
      <w:marLeft w:val="0"/>
      <w:marRight w:val="0"/>
      <w:marTop w:val="0"/>
      <w:marBottom w:val="0"/>
      <w:divBdr>
        <w:top w:val="none" w:sz="0" w:space="0" w:color="auto"/>
        <w:left w:val="none" w:sz="0" w:space="0" w:color="auto"/>
        <w:bottom w:val="none" w:sz="0" w:space="0" w:color="auto"/>
        <w:right w:val="none" w:sz="0" w:space="0" w:color="auto"/>
      </w:divBdr>
    </w:div>
    <w:div w:id="1180238382">
      <w:bodyDiv w:val="1"/>
      <w:marLeft w:val="0"/>
      <w:marRight w:val="0"/>
      <w:marTop w:val="0"/>
      <w:marBottom w:val="0"/>
      <w:divBdr>
        <w:top w:val="none" w:sz="0" w:space="0" w:color="auto"/>
        <w:left w:val="none" w:sz="0" w:space="0" w:color="auto"/>
        <w:bottom w:val="none" w:sz="0" w:space="0" w:color="auto"/>
        <w:right w:val="none" w:sz="0" w:space="0" w:color="auto"/>
      </w:divBdr>
    </w:div>
    <w:div w:id="1199003480">
      <w:bodyDiv w:val="1"/>
      <w:marLeft w:val="0"/>
      <w:marRight w:val="0"/>
      <w:marTop w:val="0"/>
      <w:marBottom w:val="0"/>
      <w:divBdr>
        <w:top w:val="none" w:sz="0" w:space="0" w:color="auto"/>
        <w:left w:val="none" w:sz="0" w:space="0" w:color="auto"/>
        <w:bottom w:val="none" w:sz="0" w:space="0" w:color="auto"/>
        <w:right w:val="none" w:sz="0" w:space="0" w:color="auto"/>
      </w:divBdr>
    </w:div>
    <w:div w:id="1199664749">
      <w:bodyDiv w:val="1"/>
      <w:marLeft w:val="0"/>
      <w:marRight w:val="0"/>
      <w:marTop w:val="0"/>
      <w:marBottom w:val="0"/>
      <w:divBdr>
        <w:top w:val="none" w:sz="0" w:space="0" w:color="auto"/>
        <w:left w:val="none" w:sz="0" w:space="0" w:color="auto"/>
        <w:bottom w:val="none" w:sz="0" w:space="0" w:color="auto"/>
        <w:right w:val="none" w:sz="0" w:space="0" w:color="auto"/>
      </w:divBdr>
    </w:div>
    <w:div w:id="1205288827">
      <w:bodyDiv w:val="1"/>
      <w:marLeft w:val="0"/>
      <w:marRight w:val="0"/>
      <w:marTop w:val="0"/>
      <w:marBottom w:val="0"/>
      <w:divBdr>
        <w:top w:val="none" w:sz="0" w:space="0" w:color="auto"/>
        <w:left w:val="none" w:sz="0" w:space="0" w:color="auto"/>
        <w:bottom w:val="none" w:sz="0" w:space="0" w:color="auto"/>
        <w:right w:val="none" w:sz="0" w:space="0" w:color="auto"/>
      </w:divBdr>
    </w:div>
    <w:div w:id="1210844627">
      <w:bodyDiv w:val="1"/>
      <w:marLeft w:val="0"/>
      <w:marRight w:val="0"/>
      <w:marTop w:val="0"/>
      <w:marBottom w:val="0"/>
      <w:divBdr>
        <w:top w:val="none" w:sz="0" w:space="0" w:color="auto"/>
        <w:left w:val="none" w:sz="0" w:space="0" w:color="auto"/>
        <w:bottom w:val="none" w:sz="0" w:space="0" w:color="auto"/>
        <w:right w:val="none" w:sz="0" w:space="0" w:color="auto"/>
      </w:divBdr>
    </w:div>
    <w:div w:id="1216283166">
      <w:bodyDiv w:val="1"/>
      <w:marLeft w:val="0"/>
      <w:marRight w:val="0"/>
      <w:marTop w:val="0"/>
      <w:marBottom w:val="0"/>
      <w:divBdr>
        <w:top w:val="none" w:sz="0" w:space="0" w:color="auto"/>
        <w:left w:val="none" w:sz="0" w:space="0" w:color="auto"/>
        <w:bottom w:val="none" w:sz="0" w:space="0" w:color="auto"/>
        <w:right w:val="none" w:sz="0" w:space="0" w:color="auto"/>
      </w:divBdr>
    </w:div>
    <w:div w:id="1225288680">
      <w:bodyDiv w:val="1"/>
      <w:marLeft w:val="0"/>
      <w:marRight w:val="0"/>
      <w:marTop w:val="0"/>
      <w:marBottom w:val="0"/>
      <w:divBdr>
        <w:top w:val="none" w:sz="0" w:space="0" w:color="auto"/>
        <w:left w:val="none" w:sz="0" w:space="0" w:color="auto"/>
        <w:bottom w:val="none" w:sz="0" w:space="0" w:color="auto"/>
        <w:right w:val="none" w:sz="0" w:space="0" w:color="auto"/>
      </w:divBdr>
    </w:div>
    <w:div w:id="1228800729">
      <w:bodyDiv w:val="1"/>
      <w:marLeft w:val="0"/>
      <w:marRight w:val="0"/>
      <w:marTop w:val="0"/>
      <w:marBottom w:val="0"/>
      <w:divBdr>
        <w:top w:val="none" w:sz="0" w:space="0" w:color="auto"/>
        <w:left w:val="none" w:sz="0" w:space="0" w:color="auto"/>
        <w:bottom w:val="none" w:sz="0" w:space="0" w:color="auto"/>
        <w:right w:val="none" w:sz="0" w:space="0" w:color="auto"/>
      </w:divBdr>
    </w:div>
    <w:div w:id="1246300463">
      <w:bodyDiv w:val="1"/>
      <w:marLeft w:val="0"/>
      <w:marRight w:val="0"/>
      <w:marTop w:val="0"/>
      <w:marBottom w:val="0"/>
      <w:divBdr>
        <w:top w:val="none" w:sz="0" w:space="0" w:color="auto"/>
        <w:left w:val="none" w:sz="0" w:space="0" w:color="auto"/>
        <w:bottom w:val="none" w:sz="0" w:space="0" w:color="auto"/>
        <w:right w:val="none" w:sz="0" w:space="0" w:color="auto"/>
      </w:divBdr>
    </w:div>
    <w:div w:id="1250042031">
      <w:bodyDiv w:val="1"/>
      <w:marLeft w:val="0"/>
      <w:marRight w:val="0"/>
      <w:marTop w:val="0"/>
      <w:marBottom w:val="0"/>
      <w:divBdr>
        <w:top w:val="none" w:sz="0" w:space="0" w:color="auto"/>
        <w:left w:val="none" w:sz="0" w:space="0" w:color="auto"/>
        <w:bottom w:val="none" w:sz="0" w:space="0" w:color="auto"/>
        <w:right w:val="none" w:sz="0" w:space="0" w:color="auto"/>
      </w:divBdr>
    </w:div>
    <w:div w:id="1265379907">
      <w:bodyDiv w:val="1"/>
      <w:marLeft w:val="0"/>
      <w:marRight w:val="0"/>
      <w:marTop w:val="0"/>
      <w:marBottom w:val="0"/>
      <w:divBdr>
        <w:top w:val="none" w:sz="0" w:space="0" w:color="auto"/>
        <w:left w:val="none" w:sz="0" w:space="0" w:color="auto"/>
        <w:bottom w:val="none" w:sz="0" w:space="0" w:color="auto"/>
        <w:right w:val="none" w:sz="0" w:space="0" w:color="auto"/>
      </w:divBdr>
    </w:div>
    <w:div w:id="1269463515">
      <w:bodyDiv w:val="1"/>
      <w:marLeft w:val="0"/>
      <w:marRight w:val="0"/>
      <w:marTop w:val="0"/>
      <w:marBottom w:val="0"/>
      <w:divBdr>
        <w:top w:val="none" w:sz="0" w:space="0" w:color="auto"/>
        <w:left w:val="none" w:sz="0" w:space="0" w:color="auto"/>
        <w:bottom w:val="none" w:sz="0" w:space="0" w:color="auto"/>
        <w:right w:val="none" w:sz="0" w:space="0" w:color="auto"/>
      </w:divBdr>
    </w:div>
    <w:div w:id="1286694546">
      <w:bodyDiv w:val="1"/>
      <w:marLeft w:val="0"/>
      <w:marRight w:val="0"/>
      <w:marTop w:val="0"/>
      <w:marBottom w:val="0"/>
      <w:divBdr>
        <w:top w:val="none" w:sz="0" w:space="0" w:color="auto"/>
        <w:left w:val="none" w:sz="0" w:space="0" w:color="auto"/>
        <w:bottom w:val="none" w:sz="0" w:space="0" w:color="auto"/>
        <w:right w:val="none" w:sz="0" w:space="0" w:color="auto"/>
      </w:divBdr>
    </w:div>
    <w:div w:id="1304047469">
      <w:bodyDiv w:val="1"/>
      <w:marLeft w:val="0"/>
      <w:marRight w:val="0"/>
      <w:marTop w:val="0"/>
      <w:marBottom w:val="0"/>
      <w:divBdr>
        <w:top w:val="none" w:sz="0" w:space="0" w:color="auto"/>
        <w:left w:val="none" w:sz="0" w:space="0" w:color="auto"/>
        <w:bottom w:val="none" w:sz="0" w:space="0" w:color="auto"/>
        <w:right w:val="none" w:sz="0" w:space="0" w:color="auto"/>
      </w:divBdr>
    </w:div>
    <w:div w:id="1314483890">
      <w:bodyDiv w:val="1"/>
      <w:marLeft w:val="0"/>
      <w:marRight w:val="0"/>
      <w:marTop w:val="0"/>
      <w:marBottom w:val="0"/>
      <w:divBdr>
        <w:top w:val="none" w:sz="0" w:space="0" w:color="auto"/>
        <w:left w:val="none" w:sz="0" w:space="0" w:color="auto"/>
        <w:bottom w:val="none" w:sz="0" w:space="0" w:color="auto"/>
        <w:right w:val="none" w:sz="0" w:space="0" w:color="auto"/>
      </w:divBdr>
    </w:div>
    <w:div w:id="1331369919">
      <w:bodyDiv w:val="1"/>
      <w:marLeft w:val="0"/>
      <w:marRight w:val="0"/>
      <w:marTop w:val="0"/>
      <w:marBottom w:val="0"/>
      <w:divBdr>
        <w:top w:val="none" w:sz="0" w:space="0" w:color="auto"/>
        <w:left w:val="none" w:sz="0" w:space="0" w:color="auto"/>
        <w:bottom w:val="none" w:sz="0" w:space="0" w:color="auto"/>
        <w:right w:val="none" w:sz="0" w:space="0" w:color="auto"/>
      </w:divBdr>
    </w:div>
    <w:div w:id="1332560957">
      <w:bodyDiv w:val="1"/>
      <w:marLeft w:val="0"/>
      <w:marRight w:val="0"/>
      <w:marTop w:val="0"/>
      <w:marBottom w:val="0"/>
      <w:divBdr>
        <w:top w:val="none" w:sz="0" w:space="0" w:color="auto"/>
        <w:left w:val="none" w:sz="0" w:space="0" w:color="auto"/>
        <w:bottom w:val="none" w:sz="0" w:space="0" w:color="auto"/>
        <w:right w:val="none" w:sz="0" w:space="0" w:color="auto"/>
      </w:divBdr>
    </w:div>
    <w:div w:id="1342396094">
      <w:bodyDiv w:val="1"/>
      <w:marLeft w:val="0"/>
      <w:marRight w:val="0"/>
      <w:marTop w:val="0"/>
      <w:marBottom w:val="0"/>
      <w:divBdr>
        <w:top w:val="none" w:sz="0" w:space="0" w:color="auto"/>
        <w:left w:val="none" w:sz="0" w:space="0" w:color="auto"/>
        <w:bottom w:val="none" w:sz="0" w:space="0" w:color="auto"/>
        <w:right w:val="none" w:sz="0" w:space="0" w:color="auto"/>
      </w:divBdr>
    </w:div>
    <w:div w:id="1347053360">
      <w:bodyDiv w:val="1"/>
      <w:marLeft w:val="0"/>
      <w:marRight w:val="0"/>
      <w:marTop w:val="0"/>
      <w:marBottom w:val="0"/>
      <w:divBdr>
        <w:top w:val="none" w:sz="0" w:space="0" w:color="auto"/>
        <w:left w:val="none" w:sz="0" w:space="0" w:color="auto"/>
        <w:bottom w:val="none" w:sz="0" w:space="0" w:color="auto"/>
        <w:right w:val="none" w:sz="0" w:space="0" w:color="auto"/>
      </w:divBdr>
    </w:div>
    <w:div w:id="1353528423">
      <w:bodyDiv w:val="1"/>
      <w:marLeft w:val="0"/>
      <w:marRight w:val="0"/>
      <w:marTop w:val="0"/>
      <w:marBottom w:val="0"/>
      <w:divBdr>
        <w:top w:val="none" w:sz="0" w:space="0" w:color="auto"/>
        <w:left w:val="none" w:sz="0" w:space="0" w:color="auto"/>
        <w:bottom w:val="none" w:sz="0" w:space="0" w:color="auto"/>
        <w:right w:val="none" w:sz="0" w:space="0" w:color="auto"/>
      </w:divBdr>
    </w:div>
    <w:div w:id="1365054784">
      <w:bodyDiv w:val="1"/>
      <w:marLeft w:val="0"/>
      <w:marRight w:val="0"/>
      <w:marTop w:val="0"/>
      <w:marBottom w:val="0"/>
      <w:divBdr>
        <w:top w:val="none" w:sz="0" w:space="0" w:color="auto"/>
        <w:left w:val="none" w:sz="0" w:space="0" w:color="auto"/>
        <w:bottom w:val="none" w:sz="0" w:space="0" w:color="auto"/>
        <w:right w:val="none" w:sz="0" w:space="0" w:color="auto"/>
      </w:divBdr>
    </w:div>
    <w:div w:id="1397632221">
      <w:bodyDiv w:val="1"/>
      <w:marLeft w:val="0"/>
      <w:marRight w:val="0"/>
      <w:marTop w:val="0"/>
      <w:marBottom w:val="0"/>
      <w:divBdr>
        <w:top w:val="none" w:sz="0" w:space="0" w:color="auto"/>
        <w:left w:val="none" w:sz="0" w:space="0" w:color="auto"/>
        <w:bottom w:val="none" w:sz="0" w:space="0" w:color="auto"/>
        <w:right w:val="none" w:sz="0" w:space="0" w:color="auto"/>
      </w:divBdr>
    </w:div>
    <w:div w:id="1399741187">
      <w:bodyDiv w:val="1"/>
      <w:marLeft w:val="0"/>
      <w:marRight w:val="0"/>
      <w:marTop w:val="0"/>
      <w:marBottom w:val="0"/>
      <w:divBdr>
        <w:top w:val="none" w:sz="0" w:space="0" w:color="auto"/>
        <w:left w:val="none" w:sz="0" w:space="0" w:color="auto"/>
        <w:bottom w:val="none" w:sz="0" w:space="0" w:color="auto"/>
        <w:right w:val="none" w:sz="0" w:space="0" w:color="auto"/>
      </w:divBdr>
    </w:div>
    <w:div w:id="1413893826">
      <w:bodyDiv w:val="1"/>
      <w:marLeft w:val="0"/>
      <w:marRight w:val="0"/>
      <w:marTop w:val="0"/>
      <w:marBottom w:val="0"/>
      <w:divBdr>
        <w:top w:val="none" w:sz="0" w:space="0" w:color="auto"/>
        <w:left w:val="none" w:sz="0" w:space="0" w:color="auto"/>
        <w:bottom w:val="none" w:sz="0" w:space="0" w:color="auto"/>
        <w:right w:val="none" w:sz="0" w:space="0" w:color="auto"/>
      </w:divBdr>
    </w:div>
    <w:div w:id="1414427333">
      <w:bodyDiv w:val="1"/>
      <w:marLeft w:val="0"/>
      <w:marRight w:val="0"/>
      <w:marTop w:val="0"/>
      <w:marBottom w:val="0"/>
      <w:divBdr>
        <w:top w:val="none" w:sz="0" w:space="0" w:color="auto"/>
        <w:left w:val="none" w:sz="0" w:space="0" w:color="auto"/>
        <w:bottom w:val="none" w:sz="0" w:space="0" w:color="auto"/>
        <w:right w:val="none" w:sz="0" w:space="0" w:color="auto"/>
      </w:divBdr>
    </w:div>
    <w:div w:id="1424491930">
      <w:bodyDiv w:val="1"/>
      <w:marLeft w:val="0"/>
      <w:marRight w:val="0"/>
      <w:marTop w:val="0"/>
      <w:marBottom w:val="0"/>
      <w:divBdr>
        <w:top w:val="none" w:sz="0" w:space="0" w:color="auto"/>
        <w:left w:val="none" w:sz="0" w:space="0" w:color="auto"/>
        <w:bottom w:val="none" w:sz="0" w:space="0" w:color="auto"/>
        <w:right w:val="none" w:sz="0" w:space="0" w:color="auto"/>
      </w:divBdr>
    </w:div>
    <w:div w:id="1434403776">
      <w:bodyDiv w:val="1"/>
      <w:marLeft w:val="0"/>
      <w:marRight w:val="0"/>
      <w:marTop w:val="0"/>
      <w:marBottom w:val="0"/>
      <w:divBdr>
        <w:top w:val="none" w:sz="0" w:space="0" w:color="auto"/>
        <w:left w:val="none" w:sz="0" w:space="0" w:color="auto"/>
        <w:bottom w:val="none" w:sz="0" w:space="0" w:color="auto"/>
        <w:right w:val="none" w:sz="0" w:space="0" w:color="auto"/>
      </w:divBdr>
    </w:div>
    <w:div w:id="1435636138">
      <w:bodyDiv w:val="1"/>
      <w:marLeft w:val="0"/>
      <w:marRight w:val="0"/>
      <w:marTop w:val="0"/>
      <w:marBottom w:val="0"/>
      <w:divBdr>
        <w:top w:val="none" w:sz="0" w:space="0" w:color="auto"/>
        <w:left w:val="none" w:sz="0" w:space="0" w:color="auto"/>
        <w:bottom w:val="none" w:sz="0" w:space="0" w:color="auto"/>
        <w:right w:val="none" w:sz="0" w:space="0" w:color="auto"/>
      </w:divBdr>
    </w:div>
    <w:div w:id="1442988851">
      <w:bodyDiv w:val="1"/>
      <w:marLeft w:val="0"/>
      <w:marRight w:val="0"/>
      <w:marTop w:val="0"/>
      <w:marBottom w:val="0"/>
      <w:divBdr>
        <w:top w:val="none" w:sz="0" w:space="0" w:color="auto"/>
        <w:left w:val="none" w:sz="0" w:space="0" w:color="auto"/>
        <w:bottom w:val="none" w:sz="0" w:space="0" w:color="auto"/>
        <w:right w:val="none" w:sz="0" w:space="0" w:color="auto"/>
      </w:divBdr>
    </w:div>
    <w:div w:id="1443259706">
      <w:bodyDiv w:val="1"/>
      <w:marLeft w:val="0"/>
      <w:marRight w:val="0"/>
      <w:marTop w:val="0"/>
      <w:marBottom w:val="0"/>
      <w:divBdr>
        <w:top w:val="none" w:sz="0" w:space="0" w:color="auto"/>
        <w:left w:val="none" w:sz="0" w:space="0" w:color="auto"/>
        <w:bottom w:val="none" w:sz="0" w:space="0" w:color="auto"/>
        <w:right w:val="none" w:sz="0" w:space="0" w:color="auto"/>
      </w:divBdr>
    </w:div>
    <w:div w:id="1450930423">
      <w:bodyDiv w:val="1"/>
      <w:marLeft w:val="0"/>
      <w:marRight w:val="0"/>
      <w:marTop w:val="0"/>
      <w:marBottom w:val="0"/>
      <w:divBdr>
        <w:top w:val="none" w:sz="0" w:space="0" w:color="auto"/>
        <w:left w:val="none" w:sz="0" w:space="0" w:color="auto"/>
        <w:bottom w:val="none" w:sz="0" w:space="0" w:color="auto"/>
        <w:right w:val="none" w:sz="0" w:space="0" w:color="auto"/>
      </w:divBdr>
    </w:div>
    <w:div w:id="1458527604">
      <w:bodyDiv w:val="1"/>
      <w:marLeft w:val="0"/>
      <w:marRight w:val="0"/>
      <w:marTop w:val="0"/>
      <w:marBottom w:val="0"/>
      <w:divBdr>
        <w:top w:val="none" w:sz="0" w:space="0" w:color="auto"/>
        <w:left w:val="none" w:sz="0" w:space="0" w:color="auto"/>
        <w:bottom w:val="none" w:sz="0" w:space="0" w:color="auto"/>
        <w:right w:val="none" w:sz="0" w:space="0" w:color="auto"/>
      </w:divBdr>
    </w:div>
    <w:div w:id="1476751291">
      <w:bodyDiv w:val="1"/>
      <w:marLeft w:val="0"/>
      <w:marRight w:val="0"/>
      <w:marTop w:val="0"/>
      <w:marBottom w:val="0"/>
      <w:divBdr>
        <w:top w:val="none" w:sz="0" w:space="0" w:color="auto"/>
        <w:left w:val="none" w:sz="0" w:space="0" w:color="auto"/>
        <w:bottom w:val="none" w:sz="0" w:space="0" w:color="auto"/>
        <w:right w:val="none" w:sz="0" w:space="0" w:color="auto"/>
      </w:divBdr>
    </w:div>
    <w:div w:id="1489133086">
      <w:bodyDiv w:val="1"/>
      <w:marLeft w:val="0"/>
      <w:marRight w:val="0"/>
      <w:marTop w:val="0"/>
      <w:marBottom w:val="0"/>
      <w:divBdr>
        <w:top w:val="none" w:sz="0" w:space="0" w:color="auto"/>
        <w:left w:val="none" w:sz="0" w:space="0" w:color="auto"/>
        <w:bottom w:val="none" w:sz="0" w:space="0" w:color="auto"/>
        <w:right w:val="none" w:sz="0" w:space="0" w:color="auto"/>
      </w:divBdr>
    </w:div>
    <w:div w:id="1497842954">
      <w:bodyDiv w:val="1"/>
      <w:marLeft w:val="0"/>
      <w:marRight w:val="0"/>
      <w:marTop w:val="0"/>
      <w:marBottom w:val="0"/>
      <w:divBdr>
        <w:top w:val="none" w:sz="0" w:space="0" w:color="auto"/>
        <w:left w:val="none" w:sz="0" w:space="0" w:color="auto"/>
        <w:bottom w:val="none" w:sz="0" w:space="0" w:color="auto"/>
        <w:right w:val="none" w:sz="0" w:space="0" w:color="auto"/>
      </w:divBdr>
    </w:div>
    <w:div w:id="1509061756">
      <w:bodyDiv w:val="1"/>
      <w:marLeft w:val="0"/>
      <w:marRight w:val="0"/>
      <w:marTop w:val="0"/>
      <w:marBottom w:val="0"/>
      <w:divBdr>
        <w:top w:val="none" w:sz="0" w:space="0" w:color="auto"/>
        <w:left w:val="none" w:sz="0" w:space="0" w:color="auto"/>
        <w:bottom w:val="none" w:sz="0" w:space="0" w:color="auto"/>
        <w:right w:val="none" w:sz="0" w:space="0" w:color="auto"/>
      </w:divBdr>
    </w:div>
    <w:div w:id="1513565950">
      <w:bodyDiv w:val="1"/>
      <w:marLeft w:val="0"/>
      <w:marRight w:val="0"/>
      <w:marTop w:val="0"/>
      <w:marBottom w:val="0"/>
      <w:divBdr>
        <w:top w:val="none" w:sz="0" w:space="0" w:color="auto"/>
        <w:left w:val="none" w:sz="0" w:space="0" w:color="auto"/>
        <w:bottom w:val="none" w:sz="0" w:space="0" w:color="auto"/>
        <w:right w:val="none" w:sz="0" w:space="0" w:color="auto"/>
      </w:divBdr>
    </w:div>
    <w:div w:id="1520002109">
      <w:bodyDiv w:val="1"/>
      <w:marLeft w:val="0"/>
      <w:marRight w:val="0"/>
      <w:marTop w:val="0"/>
      <w:marBottom w:val="0"/>
      <w:divBdr>
        <w:top w:val="none" w:sz="0" w:space="0" w:color="auto"/>
        <w:left w:val="none" w:sz="0" w:space="0" w:color="auto"/>
        <w:bottom w:val="none" w:sz="0" w:space="0" w:color="auto"/>
        <w:right w:val="none" w:sz="0" w:space="0" w:color="auto"/>
      </w:divBdr>
    </w:div>
    <w:div w:id="1532919294">
      <w:bodyDiv w:val="1"/>
      <w:marLeft w:val="0"/>
      <w:marRight w:val="0"/>
      <w:marTop w:val="0"/>
      <w:marBottom w:val="0"/>
      <w:divBdr>
        <w:top w:val="none" w:sz="0" w:space="0" w:color="auto"/>
        <w:left w:val="none" w:sz="0" w:space="0" w:color="auto"/>
        <w:bottom w:val="none" w:sz="0" w:space="0" w:color="auto"/>
        <w:right w:val="none" w:sz="0" w:space="0" w:color="auto"/>
      </w:divBdr>
    </w:div>
    <w:div w:id="1535772441">
      <w:bodyDiv w:val="1"/>
      <w:marLeft w:val="0"/>
      <w:marRight w:val="0"/>
      <w:marTop w:val="0"/>
      <w:marBottom w:val="0"/>
      <w:divBdr>
        <w:top w:val="none" w:sz="0" w:space="0" w:color="auto"/>
        <w:left w:val="none" w:sz="0" w:space="0" w:color="auto"/>
        <w:bottom w:val="none" w:sz="0" w:space="0" w:color="auto"/>
        <w:right w:val="none" w:sz="0" w:space="0" w:color="auto"/>
      </w:divBdr>
    </w:div>
    <w:div w:id="1538423198">
      <w:bodyDiv w:val="1"/>
      <w:marLeft w:val="0"/>
      <w:marRight w:val="0"/>
      <w:marTop w:val="0"/>
      <w:marBottom w:val="0"/>
      <w:divBdr>
        <w:top w:val="none" w:sz="0" w:space="0" w:color="auto"/>
        <w:left w:val="none" w:sz="0" w:space="0" w:color="auto"/>
        <w:bottom w:val="none" w:sz="0" w:space="0" w:color="auto"/>
        <w:right w:val="none" w:sz="0" w:space="0" w:color="auto"/>
      </w:divBdr>
    </w:div>
    <w:div w:id="1555655934">
      <w:bodyDiv w:val="1"/>
      <w:marLeft w:val="0"/>
      <w:marRight w:val="0"/>
      <w:marTop w:val="0"/>
      <w:marBottom w:val="0"/>
      <w:divBdr>
        <w:top w:val="none" w:sz="0" w:space="0" w:color="auto"/>
        <w:left w:val="none" w:sz="0" w:space="0" w:color="auto"/>
        <w:bottom w:val="none" w:sz="0" w:space="0" w:color="auto"/>
        <w:right w:val="none" w:sz="0" w:space="0" w:color="auto"/>
      </w:divBdr>
    </w:div>
    <w:div w:id="1561408032">
      <w:bodyDiv w:val="1"/>
      <w:marLeft w:val="0"/>
      <w:marRight w:val="0"/>
      <w:marTop w:val="0"/>
      <w:marBottom w:val="0"/>
      <w:divBdr>
        <w:top w:val="none" w:sz="0" w:space="0" w:color="auto"/>
        <w:left w:val="none" w:sz="0" w:space="0" w:color="auto"/>
        <w:bottom w:val="none" w:sz="0" w:space="0" w:color="auto"/>
        <w:right w:val="none" w:sz="0" w:space="0" w:color="auto"/>
      </w:divBdr>
    </w:div>
    <w:div w:id="1562520406">
      <w:bodyDiv w:val="1"/>
      <w:marLeft w:val="0"/>
      <w:marRight w:val="0"/>
      <w:marTop w:val="0"/>
      <w:marBottom w:val="0"/>
      <w:divBdr>
        <w:top w:val="none" w:sz="0" w:space="0" w:color="auto"/>
        <w:left w:val="none" w:sz="0" w:space="0" w:color="auto"/>
        <w:bottom w:val="none" w:sz="0" w:space="0" w:color="auto"/>
        <w:right w:val="none" w:sz="0" w:space="0" w:color="auto"/>
      </w:divBdr>
    </w:div>
    <w:div w:id="1565871983">
      <w:bodyDiv w:val="1"/>
      <w:marLeft w:val="0"/>
      <w:marRight w:val="0"/>
      <w:marTop w:val="0"/>
      <w:marBottom w:val="0"/>
      <w:divBdr>
        <w:top w:val="none" w:sz="0" w:space="0" w:color="auto"/>
        <w:left w:val="none" w:sz="0" w:space="0" w:color="auto"/>
        <w:bottom w:val="none" w:sz="0" w:space="0" w:color="auto"/>
        <w:right w:val="none" w:sz="0" w:space="0" w:color="auto"/>
      </w:divBdr>
    </w:div>
    <w:div w:id="1576358293">
      <w:bodyDiv w:val="1"/>
      <w:marLeft w:val="0"/>
      <w:marRight w:val="0"/>
      <w:marTop w:val="0"/>
      <w:marBottom w:val="0"/>
      <w:divBdr>
        <w:top w:val="none" w:sz="0" w:space="0" w:color="auto"/>
        <w:left w:val="none" w:sz="0" w:space="0" w:color="auto"/>
        <w:bottom w:val="none" w:sz="0" w:space="0" w:color="auto"/>
        <w:right w:val="none" w:sz="0" w:space="0" w:color="auto"/>
      </w:divBdr>
    </w:div>
    <w:div w:id="1593469414">
      <w:bodyDiv w:val="1"/>
      <w:marLeft w:val="0"/>
      <w:marRight w:val="0"/>
      <w:marTop w:val="0"/>
      <w:marBottom w:val="0"/>
      <w:divBdr>
        <w:top w:val="none" w:sz="0" w:space="0" w:color="auto"/>
        <w:left w:val="none" w:sz="0" w:space="0" w:color="auto"/>
        <w:bottom w:val="none" w:sz="0" w:space="0" w:color="auto"/>
        <w:right w:val="none" w:sz="0" w:space="0" w:color="auto"/>
      </w:divBdr>
    </w:div>
    <w:div w:id="1603414998">
      <w:bodyDiv w:val="1"/>
      <w:marLeft w:val="0"/>
      <w:marRight w:val="0"/>
      <w:marTop w:val="0"/>
      <w:marBottom w:val="0"/>
      <w:divBdr>
        <w:top w:val="none" w:sz="0" w:space="0" w:color="auto"/>
        <w:left w:val="none" w:sz="0" w:space="0" w:color="auto"/>
        <w:bottom w:val="none" w:sz="0" w:space="0" w:color="auto"/>
        <w:right w:val="none" w:sz="0" w:space="0" w:color="auto"/>
      </w:divBdr>
    </w:div>
    <w:div w:id="1604991599">
      <w:bodyDiv w:val="1"/>
      <w:marLeft w:val="0"/>
      <w:marRight w:val="0"/>
      <w:marTop w:val="0"/>
      <w:marBottom w:val="0"/>
      <w:divBdr>
        <w:top w:val="none" w:sz="0" w:space="0" w:color="auto"/>
        <w:left w:val="none" w:sz="0" w:space="0" w:color="auto"/>
        <w:bottom w:val="none" w:sz="0" w:space="0" w:color="auto"/>
        <w:right w:val="none" w:sz="0" w:space="0" w:color="auto"/>
      </w:divBdr>
    </w:div>
    <w:div w:id="1606573140">
      <w:bodyDiv w:val="1"/>
      <w:marLeft w:val="0"/>
      <w:marRight w:val="0"/>
      <w:marTop w:val="0"/>
      <w:marBottom w:val="0"/>
      <w:divBdr>
        <w:top w:val="none" w:sz="0" w:space="0" w:color="auto"/>
        <w:left w:val="none" w:sz="0" w:space="0" w:color="auto"/>
        <w:bottom w:val="none" w:sz="0" w:space="0" w:color="auto"/>
        <w:right w:val="none" w:sz="0" w:space="0" w:color="auto"/>
      </w:divBdr>
    </w:div>
    <w:div w:id="1644700216">
      <w:bodyDiv w:val="1"/>
      <w:marLeft w:val="0"/>
      <w:marRight w:val="0"/>
      <w:marTop w:val="0"/>
      <w:marBottom w:val="0"/>
      <w:divBdr>
        <w:top w:val="none" w:sz="0" w:space="0" w:color="auto"/>
        <w:left w:val="none" w:sz="0" w:space="0" w:color="auto"/>
        <w:bottom w:val="none" w:sz="0" w:space="0" w:color="auto"/>
        <w:right w:val="none" w:sz="0" w:space="0" w:color="auto"/>
      </w:divBdr>
    </w:div>
    <w:div w:id="1647083105">
      <w:bodyDiv w:val="1"/>
      <w:marLeft w:val="0"/>
      <w:marRight w:val="0"/>
      <w:marTop w:val="0"/>
      <w:marBottom w:val="0"/>
      <w:divBdr>
        <w:top w:val="none" w:sz="0" w:space="0" w:color="auto"/>
        <w:left w:val="none" w:sz="0" w:space="0" w:color="auto"/>
        <w:bottom w:val="none" w:sz="0" w:space="0" w:color="auto"/>
        <w:right w:val="none" w:sz="0" w:space="0" w:color="auto"/>
      </w:divBdr>
    </w:div>
    <w:div w:id="1706327668">
      <w:bodyDiv w:val="1"/>
      <w:marLeft w:val="0"/>
      <w:marRight w:val="0"/>
      <w:marTop w:val="0"/>
      <w:marBottom w:val="0"/>
      <w:divBdr>
        <w:top w:val="none" w:sz="0" w:space="0" w:color="auto"/>
        <w:left w:val="none" w:sz="0" w:space="0" w:color="auto"/>
        <w:bottom w:val="none" w:sz="0" w:space="0" w:color="auto"/>
        <w:right w:val="none" w:sz="0" w:space="0" w:color="auto"/>
      </w:divBdr>
    </w:div>
    <w:div w:id="1707288937">
      <w:bodyDiv w:val="1"/>
      <w:marLeft w:val="0"/>
      <w:marRight w:val="0"/>
      <w:marTop w:val="0"/>
      <w:marBottom w:val="0"/>
      <w:divBdr>
        <w:top w:val="none" w:sz="0" w:space="0" w:color="auto"/>
        <w:left w:val="none" w:sz="0" w:space="0" w:color="auto"/>
        <w:bottom w:val="none" w:sz="0" w:space="0" w:color="auto"/>
        <w:right w:val="none" w:sz="0" w:space="0" w:color="auto"/>
      </w:divBdr>
    </w:div>
    <w:div w:id="1712606612">
      <w:bodyDiv w:val="1"/>
      <w:marLeft w:val="0"/>
      <w:marRight w:val="0"/>
      <w:marTop w:val="0"/>
      <w:marBottom w:val="0"/>
      <w:divBdr>
        <w:top w:val="none" w:sz="0" w:space="0" w:color="auto"/>
        <w:left w:val="none" w:sz="0" w:space="0" w:color="auto"/>
        <w:bottom w:val="none" w:sz="0" w:space="0" w:color="auto"/>
        <w:right w:val="none" w:sz="0" w:space="0" w:color="auto"/>
      </w:divBdr>
    </w:div>
    <w:div w:id="1718433085">
      <w:bodyDiv w:val="1"/>
      <w:marLeft w:val="0"/>
      <w:marRight w:val="0"/>
      <w:marTop w:val="0"/>
      <w:marBottom w:val="0"/>
      <w:divBdr>
        <w:top w:val="none" w:sz="0" w:space="0" w:color="auto"/>
        <w:left w:val="none" w:sz="0" w:space="0" w:color="auto"/>
        <w:bottom w:val="none" w:sz="0" w:space="0" w:color="auto"/>
        <w:right w:val="none" w:sz="0" w:space="0" w:color="auto"/>
      </w:divBdr>
    </w:div>
    <w:div w:id="1719474299">
      <w:bodyDiv w:val="1"/>
      <w:marLeft w:val="0"/>
      <w:marRight w:val="0"/>
      <w:marTop w:val="0"/>
      <w:marBottom w:val="0"/>
      <w:divBdr>
        <w:top w:val="none" w:sz="0" w:space="0" w:color="auto"/>
        <w:left w:val="none" w:sz="0" w:space="0" w:color="auto"/>
        <w:bottom w:val="none" w:sz="0" w:space="0" w:color="auto"/>
        <w:right w:val="none" w:sz="0" w:space="0" w:color="auto"/>
      </w:divBdr>
    </w:div>
    <w:div w:id="1726833501">
      <w:bodyDiv w:val="1"/>
      <w:marLeft w:val="0"/>
      <w:marRight w:val="0"/>
      <w:marTop w:val="0"/>
      <w:marBottom w:val="0"/>
      <w:divBdr>
        <w:top w:val="none" w:sz="0" w:space="0" w:color="auto"/>
        <w:left w:val="none" w:sz="0" w:space="0" w:color="auto"/>
        <w:bottom w:val="none" w:sz="0" w:space="0" w:color="auto"/>
        <w:right w:val="none" w:sz="0" w:space="0" w:color="auto"/>
      </w:divBdr>
    </w:div>
    <w:div w:id="1729186684">
      <w:bodyDiv w:val="1"/>
      <w:marLeft w:val="0"/>
      <w:marRight w:val="0"/>
      <w:marTop w:val="0"/>
      <w:marBottom w:val="0"/>
      <w:divBdr>
        <w:top w:val="none" w:sz="0" w:space="0" w:color="auto"/>
        <w:left w:val="none" w:sz="0" w:space="0" w:color="auto"/>
        <w:bottom w:val="none" w:sz="0" w:space="0" w:color="auto"/>
        <w:right w:val="none" w:sz="0" w:space="0" w:color="auto"/>
      </w:divBdr>
    </w:div>
    <w:div w:id="1742871880">
      <w:bodyDiv w:val="1"/>
      <w:marLeft w:val="0"/>
      <w:marRight w:val="0"/>
      <w:marTop w:val="0"/>
      <w:marBottom w:val="0"/>
      <w:divBdr>
        <w:top w:val="none" w:sz="0" w:space="0" w:color="auto"/>
        <w:left w:val="none" w:sz="0" w:space="0" w:color="auto"/>
        <w:bottom w:val="none" w:sz="0" w:space="0" w:color="auto"/>
        <w:right w:val="none" w:sz="0" w:space="0" w:color="auto"/>
      </w:divBdr>
    </w:div>
    <w:div w:id="1747921937">
      <w:bodyDiv w:val="1"/>
      <w:marLeft w:val="0"/>
      <w:marRight w:val="0"/>
      <w:marTop w:val="0"/>
      <w:marBottom w:val="0"/>
      <w:divBdr>
        <w:top w:val="none" w:sz="0" w:space="0" w:color="auto"/>
        <w:left w:val="none" w:sz="0" w:space="0" w:color="auto"/>
        <w:bottom w:val="none" w:sz="0" w:space="0" w:color="auto"/>
        <w:right w:val="none" w:sz="0" w:space="0" w:color="auto"/>
      </w:divBdr>
    </w:div>
    <w:div w:id="1780098540">
      <w:bodyDiv w:val="1"/>
      <w:marLeft w:val="0"/>
      <w:marRight w:val="0"/>
      <w:marTop w:val="0"/>
      <w:marBottom w:val="0"/>
      <w:divBdr>
        <w:top w:val="none" w:sz="0" w:space="0" w:color="auto"/>
        <w:left w:val="none" w:sz="0" w:space="0" w:color="auto"/>
        <w:bottom w:val="none" w:sz="0" w:space="0" w:color="auto"/>
        <w:right w:val="none" w:sz="0" w:space="0" w:color="auto"/>
      </w:divBdr>
    </w:div>
    <w:div w:id="1788355567">
      <w:bodyDiv w:val="1"/>
      <w:marLeft w:val="0"/>
      <w:marRight w:val="0"/>
      <w:marTop w:val="0"/>
      <w:marBottom w:val="0"/>
      <w:divBdr>
        <w:top w:val="none" w:sz="0" w:space="0" w:color="auto"/>
        <w:left w:val="none" w:sz="0" w:space="0" w:color="auto"/>
        <w:bottom w:val="none" w:sz="0" w:space="0" w:color="auto"/>
        <w:right w:val="none" w:sz="0" w:space="0" w:color="auto"/>
      </w:divBdr>
    </w:div>
    <w:div w:id="1830169145">
      <w:bodyDiv w:val="1"/>
      <w:marLeft w:val="0"/>
      <w:marRight w:val="0"/>
      <w:marTop w:val="0"/>
      <w:marBottom w:val="0"/>
      <w:divBdr>
        <w:top w:val="none" w:sz="0" w:space="0" w:color="auto"/>
        <w:left w:val="none" w:sz="0" w:space="0" w:color="auto"/>
        <w:bottom w:val="none" w:sz="0" w:space="0" w:color="auto"/>
        <w:right w:val="none" w:sz="0" w:space="0" w:color="auto"/>
      </w:divBdr>
    </w:div>
    <w:div w:id="1832061847">
      <w:bodyDiv w:val="1"/>
      <w:marLeft w:val="0"/>
      <w:marRight w:val="0"/>
      <w:marTop w:val="0"/>
      <w:marBottom w:val="0"/>
      <w:divBdr>
        <w:top w:val="none" w:sz="0" w:space="0" w:color="auto"/>
        <w:left w:val="none" w:sz="0" w:space="0" w:color="auto"/>
        <w:bottom w:val="none" w:sz="0" w:space="0" w:color="auto"/>
        <w:right w:val="none" w:sz="0" w:space="0" w:color="auto"/>
      </w:divBdr>
    </w:div>
    <w:div w:id="1836871626">
      <w:bodyDiv w:val="1"/>
      <w:marLeft w:val="0"/>
      <w:marRight w:val="0"/>
      <w:marTop w:val="0"/>
      <w:marBottom w:val="0"/>
      <w:divBdr>
        <w:top w:val="none" w:sz="0" w:space="0" w:color="auto"/>
        <w:left w:val="none" w:sz="0" w:space="0" w:color="auto"/>
        <w:bottom w:val="none" w:sz="0" w:space="0" w:color="auto"/>
        <w:right w:val="none" w:sz="0" w:space="0" w:color="auto"/>
      </w:divBdr>
    </w:div>
    <w:div w:id="1842498960">
      <w:bodyDiv w:val="1"/>
      <w:marLeft w:val="0"/>
      <w:marRight w:val="0"/>
      <w:marTop w:val="0"/>
      <w:marBottom w:val="0"/>
      <w:divBdr>
        <w:top w:val="none" w:sz="0" w:space="0" w:color="auto"/>
        <w:left w:val="none" w:sz="0" w:space="0" w:color="auto"/>
        <w:bottom w:val="none" w:sz="0" w:space="0" w:color="auto"/>
        <w:right w:val="none" w:sz="0" w:space="0" w:color="auto"/>
      </w:divBdr>
    </w:div>
    <w:div w:id="1843085391">
      <w:bodyDiv w:val="1"/>
      <w:marLeft w:val="0"/>
      <w:marRight w:val="0"/>
      <w:marTop w:val="0"/>
      <w:marBottom w:val="0"/>
      <w:divBdr>
        <w:top w:val="none" w:sz="0" w:space="0" w:color="auto"/>
        <w:left w:val="none" w:sz="0" w:space="0" w:color="auto"/>
        <w:bottom w:val="none" w:sz="0" w:space="0" w:color="auto"/>
        <w:right w:val="none" w:sz="0" w:space="0" w:color="auto"/>
      </w:divBdr>
    </w:div>
    <w:div w:id="1859152860">
      <w:bodyDiv w:val="1"/>
      <w:marLeft w:val="0"/>
      <w:marRight w:val="0"/>
      <w:marTop w:val="0"/>
      <w:marBottom w:val="0"/>
      <w:divBdr>
        <w:top w:val="none" w:sz="0" w:space="0" w:color="auto"/>
        <w:left w:val="none" w:sz="0" w:space="0" w:color="auto"/>
        <w:bottom w:val="none" w:sz="0" w:space="0" w:color="auto"/>
        <w:right w:val="none" w:sz="0" w:space="0" w:color="auto"/>
      </w:divBdr>
    </w:div>
    <w:div w:id="1878228961">
      <w:bodyDiv w:val="1"/>
      <w:marLeft w:val="0"/>
      <w:marRight w:val="0"/>
      <w:marTop w:val="0"/>
      <w:marBottom w:val="0"/>
      <w:divBdr>
        <w:top w:val="none" w:sz="0" w:space="0" w:color="auto"/>
        <w:left w:val="none" w:sz="0" w:space="0" w:color="auto"/>
        <w:bottom w:val="none" w:sz="0" w:space="0" w:color="auto"/>
        <w:right w:val="none" w:sz="0" w:space="0" w:color="auto"/>
      </w:divBdr>
    </w:div>
    <w:div w:id="1884829885">
      <w:bodyDiv w:val="1"/>
      <w:marLeft w:val="0"/>
      <w:marRight w:val="0"/>
      <w:marTop w:val="0"/>
      <w:marBottom w:val="0"/>
      <w:divBdr>
        <w:top w:val="none" w:sz="0" w:space="0" w:color="auto"/>
        <w:left w:val="none" w:sz="0" w:space="0" w:color="auto"/>
        <w:bottom w:val="none" w:sz="0" w:space="0" w:color="auto"/>
        <w:right w:val="none" w:sz="0" w:space="0" w:color="auto"/>
      </w:divBdr>
    </w:div>
    <w:div w:id="1885292201">
      <w:bodyDiv w:val="1"/>
      <w:marLeft w:val="0"/>
      <w:marRight w:val="0"/>
      <w:marTop w:val="0"/>
      <w:marBottom w:val="0"/>
      <w:divBdr>
        <w:top w:val="none" w:sz="0" w:space="0" w:color="auto"/>
        <w:left w:val="none" w:sz="0" w:space="0" w:color="auto"/>
        <w:bottom w:val="none" w:sz="0" w:space="0" w:color="auto"/>
        <w:right w:val="none" w:sz="0" w:space="0" w:color="auto"/>
      </w:divBdr>
    </w:div>
    <w:div w:id="1896507016">
      <w:bodyDiv w:val="1"/>
      <w:marLeft w:val="0"/>
      <w:marRight w:val="0"/>
      <w:marTop w:val="0"/>
      <w:marBottom w:val="0"/>
      <w:divBdr>
        <w:top w:val="none" w:sz="0" w:space="0" w:color="auto"/>
        <w:left w:val="none" w:sz="0" w:space="0" w:color="auto"/>
        <w:bottom w:val="none" w:sz="0" w:space="0" w:color="auto"/>
        <w:right w:val="none" w:sz="0" w:space="0" w:color="auto"/>
      </w:divBdr>
    </w:div>
    <w:div w:id="1900313326">
      <w:bodyDiv w:val="1"/>
      <w:marLeft w:val="0"/>
      <w:marRight w:val="0"/>
      <w:marTop w:val="0"/>
      <w:marBottom w:val="0"/>
      <w:divBdr>
        <w:top w:val="none" w:sz="0" w:space="0" w:color="auto"/>
        <w:left w:val="none" w:sz="0" w:space="0" w:color="auto"/>
        <w:bottom w:val="none" w:sz="0" w:space="0" w:color="auto"/>
        <w:right w:val="none" w:sz="0" w:space="0" w:color="auto"/>
      </w:divBdr>
    </w:div>
    <w:div w:id="1902250799">
      <w:bodyDiv w:val="1"/>
      <w:marLeft w:val="0"/>
      <w:marRight w:val="0"/>
      <w:marTop w:val="0"/>
      <w:marBottom w:val="0"/>
      <w:divBdr>
        <w:top w:val="none" w:sz="0" w:space="0" w:color="auto"/>
        <w:left w:val="none" w:sz="0" w:space="0" w:color="auto"/>
        <w:bottom w:val="none" w:sz="0" w:space="0" w:color="auto"/>
        <w:right w:val="none" w:sz="0" w:space="0" w:color="auto"/>
      </w:divBdr>
    </w:div>
    <w:div w:id="1904875649">
      <w:bodyDiv w:val="1"/>
      <w:marLeft w:val="0"/>
      <w:marRight w:val="0"/>
      <w:marTop w:val="0"/>
      <w:marBottom w:val="0"/>
      <w:divBdr>
        <w:top w:val="none" w:sz="0" w:space="0" w:color="auto"/>
        <w:left w:val="none" w:sz="0" w:space="0" w:color="auto"/>
        <w:bottom w:val="none" w:sz="0" w:space="0" w:color="auto"/>
        <w:right w:val="none" w:sz="0" w:space="0" w:color="auto"/>
      </w:divBdr>
    </w:div>
    <w:div w:id="1918202375">
      <w:bodyDiv w:val="1"/>
      <w:marLeft w:val="0"/>
      <w:marRight w:val="0"/>
      <w:marTop w:val="0"/>
      <w:marBottom w:val="0"/>
      <w:divBdr>
        <w:top w:val="none" w:sz="0" w:space="0" w:color="auto"/>
        <w:left w:val="none" w:sz="0" w:space="0" w:color="auto"/>
        <w:bottom w:val="none" w:sz="0" w:space="0" w:color="auto"/>
        <w:right w:val="none" w:sz="0" w:space="0" w:color="auto"/>
      </w:divBdr>
    </w:div>
    <w:div w:id="1918437364">
      <w:bodyDiv w:val="1"/>
      <w:marLeft w:val="0"/>
      <w:marRight w:val="0"/>
      <w:marTop w:val="0"/>
      <w:marBottom w:val="0"/>
      <w:divBdr>
        <w:top w:val="none" w:sz="0" w:space="0" w:color="auto"/>
        <w:left w:val="none" w:sz="0" w:space="0" w:color="auto"/>
        <w:bottom w:val="none" w:sz="0" w:space="0" w:color="auto"/>
        <w:right w:val="none" w:sz="0" w:space="0" w:color="auto"/>
      </w:divBdr>
    </w:div>
    <w:div w:id="1928465792">
      <w:bodyDiv w:val="1"/>
      <w:marLeft w:val="0"/>
      <w:marRight w:val="0"/>
      <w:marTop w:val="0"/>
      <w:marBottom w:val="0"/>
      <w:divBdr>
        <w:top w:val="none" w:sz="0" w:space="0" w:color="auto"/>
        <w:left w:val="none" w:sz="0" w:space="0" w:color="auto"/>
        <w:bottom w:val="none" w:sz="0" w:space="0" w:color="auto"/>
        <w:right w:val="none" w:sz="0" w:space="0" w:color="auto"/>
      </w:divBdr>
    </w:div>
    <w:div w:id="1949383632">
      <w:bodyDiv w:val="1"/>
      <w:marLeft w:val="0"/>
      <w:marRight w:val="0"/>
      <w:marTop w:val="0"/>
      <w:marBottom w:val="0"/>
      <w:divBdr>
        <w:top w:val="none" w:sz="0" w:space="0" w:color="auto"/>
        <w:left w:val="none" w:sz="0" w:space="0" w:color="auto"/>
        <w:bottom w:val="none" w:sz="0" w:space="0" w:color="auto"/>
        <w:right w:val="none" w:sz="0" w:space="0" w:color="auto"/>
      </w:divBdr>
    </w:div>
    <w:div w:id="1966277609">
      <w:bodyDiv w:val="1"/>
      <w:marLeft w:val="0"/>
      <w:marRight w:val="0"/>
      <w:marTop w:val="0"/>
      <w:marBottom w:val="0"/>
      <w:divBdr>
        <w:top w:val="none" w:sz="0" w:space="0" w:color="auto"/>
        <w:left w:val="none" w:sz="0" w:space="0" w:color="auto"/>
        <w:bottom w:val="none" w:sz="0" w:space="0" w:color="auto"/>
        <w:right w:val="none" w:sz="0" w:space="0" w:color="auto"/>
      </w:divBdr>
    </w:div>
    <w:div w:id="1974214882">
      <w:bodyDiv w:val="1"/>
      <w:marLeft w:val="0"/>
      <w:marRight w:val="0"/>
      <w:marTop w:val="0"/>
      <w:marBottom w:val="0"/>
      <w:divBdr>
        <w:top w:val="none" w:sz="0" w:space="0" w:color="auto"/>
        <w:left w:val="none" w:sz="0" w:space="0" w:color="auto"/>
        <w:bottom w:val="none" w:sz="0" w:space="0" w:color="auto"/>
        <w:right w:val="none" w:sz="0" w:space="0" w:color="auto"/>
      </w:divBdr>
    </w:div>
    <w:div w:id="1999528055">
      <w:bodyDiv w:val="1"/>
      <w:marLeft w:val="0"/>
      <w:marRight w:val="0"/>
      <w:marTop w:val="0"/>
      <w:marBottom w:val="0"/>
      <w:divBdr>
        <w:top w:val="none" w:sz="0" w:space="0" w:color="auto"/>
        <w:left w:val="none" w:sz="0" w:space="0" w:color="auto"/>
        <w:bottom w:val="none" w:sz="0" w:space="0" w:color="auto"/>
        <w:right w:val="none" w:sz="0" w:space="0" w:color="auto"/>
      </w:divBdr>
    </w:div>
    <w:div w:id="2001082903">
      <w:bodyDiv w:val="1"/>
      <w:marLeft w:val="0"/>
      <w:marRight w:val="0"/>
      <w:marTop w:val="0"/>
      <w:marBottom w:val="0"/>
      <w:divBdr>
        <w:top w:val="none" w:sz="0" w:space="0" w:color="auto"/>
        <w:left w:val="none" w:sz="0" w:space="0" w:color="auto"/>
        <w:bottom w:val="none" w:sz="0" w:space="0" w:color="auto"/>
        <w:right w:val="none" w:sz="0" w:space="0" w:color="auto"/>
      </w:divBdr>
    </w:div>
    <w:div w:id="2011517750">
      <w:bodyDiv w:val="1"/>
      <w:marLeft w:val="0"/>
      <w:marRight w:val="0"/>
      <w:marTop w:val="0"/>
      <w:marBottom w:val="0"/>
      <w:divBdr>
        <w:top w:val="none" w:sz="0" w:space="0" w:color="auto"/>
        <w:left w:val="none" w:sz="0" w:space="0" w:color="auto"/>
        <w:bottom w:val="none" w:sz="0" w:space="0" w:color="auto"/>
        <w:right w:val="none" w:sz="0" w:space="0" w:color="auto"/>
      </w:divBdr>
    </w:div>
    <w:div w:id="2013603569">
      <w:bodyDiv w:val="1"/>
      <w:marLeft w:val="0"/>
      <w:marRight w:val="0"/>
      <w:marTop w:val="0"/>
      <w:marBottom w:val="0"/>
      <w:divBdr>
        <w:top w:val="none" w:sz="0" w:space="0" w:color="auto"/>
        <w:left w:val="none" w:sz="0" w:space="0" w:color="auto"/>
        <w:bottom w:val="none" w:sz="0" w:space="0" w:color="auto"/>
        <w:right w:val="none" w:sz="0" w:space="0" w:color="auto"/>
      </w:divBdr>
    </w:div>
    <w:div w:id="2035032077">
      <w:bodyDiv w:val="1"/>
      <w:marLeft w:val="0"/>
      <w:marRight w:val="0"/>
      <w:marTop w:val="0"/>
      <w:marBottom w:val="0"/>
      <w:divBdr>
        <w:top w:val="none" w:sz="0" w:space="0" w:color="auto"/>
        <w:left w:val="none" w:sz="0" w:space="0" w:color="auto"/>
        <w:bottom w:val="none" w:sz="0" w:space="0" w:color="auto"/>
        <w:right w:val="none" w:sz="0" w:space="0" w:color="auto"/>
      </w:divBdr>
    </w:div>
    <w:div w:id="2035570256">
      <w:bodyDiv w:val="1"/>
      <w:marLeft w:val="0"/>
      <w:marRight w:val="0"/>
      <w:marTop w:val="0"/>
      <w:marBottom w:val="0"/>
      <w:divBdr>
        <w:top w:val="none" w:sz="0" w:space="0" w:color="auto"/>
        <w:left w:val="none" w:sz="0" w:space="0" w:color="auto"/>
        <w:bottom w:val="none" w:sz="0" w:space="0" w:color="auto"/>
        <w:right w:val="none" w:sz="0" w:space="0" w:color="auto"/>
      </w:divBdr>
    </w:div>
    <w:div w:id="2044163333">
      <w:bodyDiv w:val="1"/>
      <w:marLeft w:val="0"/>
      <w:marRight w:val="0"/>
      <w:marTop w:val="0"/>
      <w:marBottom w:val="0"/>
      <w:divBdr>
        <w:top w:val="none" w:sz="0" w:space="0" w:color="auto"/>
        <w:left w:val="none" w:sz="0" w:space="0" w:color="auto"/>
        <w:bottom w:val="none" w:sz="0" w:space="0" w:color="auto"/>
        <w:right w:val="none" w:sz="0" w:space="0" w:color="auto"/>
      </w:divBdr>
    </w:div>
    <w:div w:id="2048985345">
      <w:bodyDiv w:val="1"/>
      <w:marLeft w:val="0"/>
      <w:marRight w:val="0"/>
      <w:marTop w:val="0"/>
      <w:marBottom w:val="0"/>
      <w:divBdr>
        <w:top w:val="none" w:sz="0" w:space="0" w:color="auto"/>
        <w:left w:val="none" w:sz="0" w:space="0" w:color="auto"/>
        <w:bottom w:val="none" w:sz="0" w:space="0" w:color="auto"/>
        <w:right w:val="none" w:sz="0" w:space="0" w:color="auto"/>
      </w:divBdr>
    </w:div>
    <w:div w:id="2054110349">
      <w:bodyDiv w:val="1"/>
      <w:marLeft w:val="0"/>
      <w:marRight w:val="0"/>
      <w:marTop w:val="0"/>
      <w:marBottom w:val="0"/>
      <w:divBdr>
        <w:top w:val="none" w:sz="0" w:space="0" w:color="auto"/>
        <w:left w:val="none" w:sz="0" w:space="0" w:color="auto"/>
        <w:bottom w:val="none" w:sz="0" w:space="0" w:color="auto"/>
        <w:right w:val="none" w:sz="0" w:space="0" w:color="auto"/>
      </w:divBdr>
    </w:div>
    <w:div w:id="2071532638">
      <w:bodyDiv w:val="1"/>
      <w:marLeft w:val="0"/>
      <w:marRight w:val="0"/>
      <w:marTop w:val="0"/>
      <w:marBottom w:val="0"/>
      <w:divBdr>
        <w:top w:val="none" w:sz="0" w:space="0" w:color="auto"/>
        <w:left w:val="none" w:sz="0" w:space="0" w:color="auto"/>
        <w:bottom w:val="none" w:sz="0" w:space="0" w:color="auto"/>
        <w:right w:val="none" w:sz="0" w:space="0" w:color="auto"/>
      </w:divBdr>
    </w:div>
    <w:div w:id="2090882882">
      <w:bodyDiv w:val="1"/>
      <w:marLeft w:val="0"/>
      <w:marRight w:val="0"/>
      <w:marTop w:val="0"/>
      <w:marBottom w:val="0"/>
      <w:divBdr>
        <w:top w:val="none" w:sz="0" w:space="0" w:color="auto"/>
        <w:left w:val="none" w:sz="0" w:space="0" w:color="auto"/>
        <w:bottom w:val="none" w:sz="0" w:space="0" w:color="auto"/>
        <w:right w:val="none" w:sz="0" w:space="0" w:color="auto"/>
      </w:divBdr>
    </w:div>
    <w:div w:id="2092041257">
      <w:bodyDiv w:val="1"/>
      <w:marLeft w:val="0"/>
      <w:marRight w:val="0"/>
      <w:marTop w:val="0"/>
      <w:marBottom w:val="0"/>
      <w:divBdr>
        <w:top w:val="none" w:sz="0" w:space="0" w:color="auto"/>
        <w:left w:val="none" w:sz="0" w:space="0" w:color="auto"/>
        <w:bottom w:val="none" w:sz="0" w:space="0" w:color="auto"/>
        <w:right w:val="none" w:sz="0" w:space="0" w:color="auto"/>
      </w:divBdr>
    </w:div>
    <w:div w:id="2092309181">
      <w:bodyDiv w:val="1"/>
      <w:marLeft w:val="0"/>
      <w:marRight w:val="0"/>
      <w:marTop w:val="0"/>
      <w:marBottom w:val="0"/>
      <w:divBdr>
        <w:top w:val="none" w:sz="0" w:space="0" w:color="auto"/>
        <w:left w:val="none" w:sz="0" w:space="0" w:color="auto"/>
        <w:bottom w:val="none" w:sz="0" w:space="0" w:color="auto"/>
        <w:right w:val="none" w:sz="0" w:space="0" w:color="auto"/>
      </w:divBdr>
    </w:div>
    <w:div w:id="2104523716">
      <w:bodyDiv w:val="1"/>
      <w:marLeft w:val="0"/>
      <w:marRight w:val="0"/>
      <w:marTop w:val="0"/>
      <w:marBottom w:val="0"/>
      <w:divBdr>
        <w:top w:val="none" w:sz="0" w:space="0" w:color="auto"/>
        <w:left w:val="none" w:sz="0" w:space="0" w:color="auto"/>
        <w:bottom w:val="none" w:sz="0" w:space="0" w:color="auto"/>
        <w:right w:val="none" w:sz="0" w:space="0" w:color="auto"/>
      </w:divBdr>
    </w:div>
    <w:div w:id="2124030781">
      <w:bodyDiv w:val="1"/>
      <w:marLeft w:val="0"/>
      <w:marRight w:val="0"/>
      <w:marTop w:val="0"/>
      <w:marBottom w:val="0"/>
      <w:divBdr>
        <w:top w:val="none" w:sz="0" w:space="0" w:color="auto"/>
        <w:left w:val="none" w:sz="0" w:space="0" w:color="auto"/>
        <w:bottom w:val="none" w:sz="0" w:space="0" w:color="auto"/>
        <w:right w:val="none" w:sz="0" w:space="0" w:color="auto"/>
      </w:divBdr>
    </w:div>
    <w:div w:id="2130927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E6F6-FAA6-6F40-AE5A-D059FB65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11377</TotalTime>
  <Pages>47</Pages>
  <Words>10357</Words>
  <Characters>59036</Characters>
  <Application>Microsoft Macintosh Word</Application>
  <DocSecurity>0</DocSecurity>
  <Lines>491</Lines>
  <Paragraphs>138</Paragraphs>
  <ScaleCrop>false</ScaleCrop>
  <Company/>
  <LinksUpToDate>false</LinksUpToDate>
  <CharactersWithSpaces>69255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Schwier</dc:creator>
  <cp:keywords/>
  <dc:description/>
  <cp:lastModifiedBy>Ryan Schwier</cp:lastModifiedBy>
  <cp:revision>319</cp:revision>
  <dcterms:created xsi:type="dcterms:W3CDTF">2015-06-22T23:29:00Z</dcterms:created>
  <dcterms:modified xsi:type="dcterms:W3CDTF">2015-08-31T06:04:00Z</dcterms:modified>
</cp:coreProperties>
</file>